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E71B8">
      <w:pPr>
        <w:spacing w:before="120" w:after="0" w:line="240" w:lineRule="auto"/>
        <w:rPr>
          <w:rFonts w:ascii="Times New Roman" w:hAnsi="Times New Roman" w:eastAsia="Calibri" w:cs="Times New Roman"/>
          <w:b/>
          <w:bCs/>
          <w:lang w:val="en-US"/>
        </w:rPr>
      </w:pPr>
      <w:r>
        <w:rPr>
          <w:rFonts w:ascii="Times New Roman" w:hAnsi="Times New Roman" w:eastAsia="Calibri" w:cs="Times New Roman"/>
          <w:b/>
          <w:bCs/>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Pr>
          <w:rFonts w:ascii="Times New Roman" w:hAnsi="Times New Roman" w:eastAsia="Calibri" w:cs="Times New Roman"/>
          <w:b/>
          <w:bCs/>
          <w:lang w:val="en-US"/>
        </w:rPr>
        <w:t>JoSVAS 2026    September Vol. 8 Issue 3: 224-233</w:t>
      </w:r>
    </w:p>
    <w:p w14:paraId="3D450260">
      <w:pPr>
        <w:spacing w:after="0" w:line="240" w:lineRule="auto"/>
        <w:rPr>
          <w:rFonts w:ascii="Times New Roman" w:hAnsi="Times New Roman" w:eastAsia="Calibri" w:cs="Times New Roman"/>
          <w:b/>
          <w:bCs/>
          <w:lang w:val="en-US"/>
        </w:rPr>
      </w:pPr>
      <w:r>
        <w:rPr>
          <w:rFonts w:ascii="Times New Roman" w:hAnsi="Times New Roman" w:eastAsia="Calibri" w:cs="Times New Roman"/>
          <w:b/>
          <w:bCs/>
          <w:lang w:val="en-US"/>
        </w:rPr>
        <w:t>©2026 College of Veterinary Medicine,                                                                          Original Research Article</w:t>
      </w:r>
    </w:p>
    <w:p w14:paraId="5B78FC4D">
      <w:pPr>
        <w:spacing w:after="0" w:line="240" w:lineRule="auto"/>
        <w:ind w:left="-630" w:firstLine="630"/>
        <w:rPr>
          <w:rFonts w:ascii="Times New Roman" w:hAnsi="Times New Roman" w:eastAsia="Calibri" w:cs="Times New Roman"/>
          <w:b/>
          <w:bCs/>
          <w:sz w:val="20"/>
          <w:szCs w:val="20"/>
          <w:lang w:val="en-US"/>
        </w:rPr>
      </w:pPr>
      <w:r>
        <w:rPr>
          <w:rFonts w:ascii="Times New Roman" w:hAnsi="Times New Roman" w:eastAsia="Calibri" w:cs="Times New Roman"/>
          <w:b/>
          <w:bCs/>
          <w:sz w:val="20"/>
          <w:szCs w:val="20"/>
          <w:lang w:val="en-US"/>
        </w:rPr>
        <w:t>Michael Okpara University of Agriculture, Umudike, Nigeria</w:t>
      </w:r>
    </w:p>
    <w:p w14:paraId="6BE5ED8C">
      <w:pPr>
        <w:pStyle w:val="21"/>
      </w:pPr>
    </w:p>
    <w:p w14:paraId="2F58EAF9">
      <w:pPr>
        <w:spacing w:after="120"/>
        <w:jc w:val="center"/>
        <w:rPr>
          <w:rFonts w:ascii="Times New Roman" w:hAnsi="Times New Roman" w:eastAsia="Calibri" w:cs="Times New Roman"/>
          <w:b/>
          <w:bCs/>
          <w:sz w:val="28"/>
          <w:szCs w:val="28"/>
        </w:rPr>
      </w:pPr>
      <w:r>
        <w:rPr>
          <w:sz w:val="28"/>
          <w:szCs w:val="28"/>
        </w:rPr>
        <w:t xml:space="preserve"> </w:t>
      </w:r>
      <w:r>
        <w:rPr>
          <w:rFonts w:ascii="Times New Roman" w:hAnsi="Times New Roman" w:cs="Times New Roman"/>
          <w:b/>
          <w:bCs/>
          <w:sz w:val="28"/>
          <w:szCs w:val="28"/>
        </w:rPr>
        <w:t>ASSESSMENT OF EFFECT OF THORN APPLE FRUIT, LEAF AND THEIR COMBINATION ON GROWTH PERFORMANCE, BLOOD PROFILE OF BROILER CHICKEN</w:t>
      </w:r>
    </w:p>
    <w:p w14:paraId="77E7EF5E">
      <w:pPr>
        <w:spacing w:after="120"/>
        <w:jc w:val="center"/>
        <w:rPr>
          <w:rFonts w:ascii="Times New Roman" w:hAnsi="Times New Roman" w:eastAsia="Calibri" w:cs="Times New Roman"/>
          <w:b/>
          <w:bCs/>
          <w:sz w:val="24"/>
          <w:szCs w:val="24"/>
          <w:vertAlign w:val="superscript"/>
        </w:rPr>
      </w:pPr>
      <w:r>
        <w:t xml:space="preserve"> </w:t>
      </w:r>
      <w:r>
        <w:rPr>
          <w:vertAlign w:val="superscript"/>
        </w:rPr>
        <w:t>a</w:t>
      </w:r>
      <w:r>
        <w:rPr>
          <w:rFonts w:ascii="Times New Roman" w:hAnsi="Times New Roman" w:cs="Times New Roman"/>
          <w:b/>
          <w:sz w:val="24"/>
          <w:szCs w:val="24"/>
        </w:rPr>
        <w:t xml:space="preserve">RAFIU, T.A., </w:t>
      </w:r>
      <w:r>
        <w:rPr>
          <w:rFonts w:ascii="Times New Roman" w:hAnsi="Times New Roman" w:cs="Times New Roman"/>
          <w:b/>
          <w:sz w:val="24"/>
          <w:szCs w:val="24"/>
          <w:vertAlign w:val="superscript"/>
        </w:rPr>
        <w:t>b</w:t>
      </w:r>
      <w:r>
        <w:rPr>
          <w:rFonts w:ascii="Times New Roman" w:hAnsi="Times New Roman" w:cs="Times New Roman"/>
          <w:b/>
          <w:sz w:val="24"/>
          <w:szCs w:val="24"/>
        </w:rPr>
        <w:t>ADEWUNI, F.A &amp; *</w:t>
      </w:r>
      <w:r>
        <w:rPr>
          <w:rFonts w:ascii="Times New Roman" w:hAnsi="Times New Roman" w:cs="Times New Roman"/>
          <w:b/>
          <w:sz w:val="24"/>
          <w:szCs w:val="24"/>
          <w:vertAlign w:val="superscript"/>
        </w:rPr>
        <w:t>c</w:t>
      </w:r>
      <w:r>
        <w:rPr>
          <w:rFonts w:ascii="Times New Roman" w:hAnsi="Times New Roman" w:cs="Times New Roman"/>
          <w:b/>
          <w:sz w:val="24"/>
          <w:szCs w:val="24"/>
        </w:rPr>
        <w:t>OKANLAWON, E. O.</w:t>
      </w:r>
    </w:p>
    <w:p w14:paraId="68954DAA">
      <w:pPr>
        <w:pBdr>
          <w:bottom w:val="single" w:color="auto" w:sz="4" w:space="1"/>
        </w:pBdr>
        <w:spacing w:after="120"/>
        <w:jc w:val="center"/>
        <w:rPr>
          <w:rFonts w:ascii="Times New Roman" w:hAnsi="Times New Roman" w:cs="Times New Roman"/>
          <w:i/>
          <w:sz w:val="20"/>
          <w:szCs w:val="20"/>
        </w:rPr>
      </w:pPr>
      <w:r>
        <w:t xml:space="preserve"> </w:t>
      </w:r>
      <w:r>
        <w:rPr>
          <w:rFonts w:ascii="Times New Roman" w:hAnsi="Times New Roman" w:cs="Times New Roman"/>
          <w:i/>
          <w:sz w:val="20"/>
          <w:szCs w:val="20"/>
        </w:rPr>
        <w:t>Department of Animal Production and Health; Ladoke Akinola University of Technology Ogbomoso, Oyo State. Nigeria</w:t>
      </w:r>
    </w:p>
    <w:p w14:paraId="4587C5B9">
      <w:pPr>
        <w:pBdr>
          <w:bottom w:val="single" w:color="auto" w:sz="4" w:space="1"/>
        </w:pBdr>
        <w:spacing w:after="120"/>
        <w:jc w:val="center"/>
        <w:rPr>
          <w:rFonts w:ascii="Times New Roman" w:hAnsi="Times New Roman" w:cs="Times New Roman"/>
          <w:i/>
          <w:sz w:val="20"/>
          <w:szCs w:val="20"/>
        </w:rPr>
      </w:pPr>
      <w:r>
        <w:rPr>
          <w:rFonts w:ascii="Times New Roman" w:hAnsi="Times New Roman" w:cs="Times New Roman"/>
          <w:i/>
          <w:sz w:val="20"/>
          <w:szCs w:val="20"/>
        </w:rPr>
        <w:t xml:space="preserve">ORCID: </w:t>
      </w:r>
      <w:r>
        <w:rPr>
          <w:rFonts w:ascii="Times New Roman" w:hAnsi="Times New Roman" w:cs="Times New Roman"/>
          <w:i/>
          <w:sz w:val="20"/>
          <w:szCs w:val="20"/>
          <w:vertAlign w:val="superscript"/>
        </w:rPr>
        <w:t>a</w:t>
      </w:r>
      <w:r>
        <w:rPr>
          <w:rFonts w:ascii="Times New Roman" w:hAnsi="Times New Roman" w:cs="Times New Roman"/>
          <w:i/>
          <w:sz w:val="20"/>
          <w:szCs w:val="20"/>
        </w:rPr>
        <w:t xml:space="preserve">https://orcid.org.0000-0003-0997-7320; </w:t>
      </w:r>
      <w:r>
        <w:rPr>
          <w:rFonts w:ascii="Times New Roman" w:hAnsi="Times New Roman" w:cs="Times New Roman"/>
          <w:i/>
          <w:sz w:val="20"/>
          <w:szCs w:val="20"/>
          <w:vertAlign w:val="superscript"/>
        </w:rPr>
        <w:t>c</w:t>
      </w:r>
      <w:r>
        <w:rPr>
          <w:rFonts w:ascii="Times New Roman" w:hAnsi="Times New Roman" w:cs="Times New Roman"/>
          <w:i/>
          <w:sz w:val="20"/>
          <w:szCs w:val="20"/>
        </w:rPr>
        <w:t>https://orcid.org.0000-0002-8606-6670</w:t>
      </w:r>
    </w:p>
    <w:p w14:paraId="635727A6">
      <w:pPr>
        <w:pBdr>
          <w:bottom w:val="single" w:color="auto" w:sz="4" w:space="1"/>
        </w:pBdr>
        <w:spacing w:after="120"/>
        <w:jc w:val="center"/>
        <w:rPr>
          <w:rFonts w:ascii="Times New Roman" w:hAnsi="Times New Roman" w:eastAsia="Calibri" w:cs="Times New Roman"/>
          <w:sz w:val="20"/>
          <w:szCs w:val="20"/>
          <w:lang w:val="en-US"/>
        </w:rPr>
      </w:pPr>
      <w:r>
        <w:rPr>
          <w:rFonts w:ascii="Times New Roman" w:hAnsi="Times New Roman" w:eastAsia="Times New Roman" w:cs="Times New Roman"/>
          <w:bCs/>
          <w:i/>
          <w:color w:val="000000" w:themeColor="text1"/>
          <w:sz w:val="20"/>
          <w:szCs w:val="20"/>
          <w:lang w:val="en-US"/>
        </w:rPr>
        <w:t xml:space="preserve">*Correspondence: </w:t>
      </w:r>
      <w:r>
        <w:fldChar w:fldCharType="begin"/>
      </w:r>
      <w:r>
        <w:instrText xml:space="preserve"> HYPERLINK "mailto:edenokanlawal@gmail.com" </w:instrText>
      </w:r>
      <w:r>
        <w:fldChar w:fldCharType="separate"/>
      </w:r>
      <w:r>
        <w:rPr>
          <w:rStyle w:val="12"/>
          <w:rFonts w:ascii="Times New Roman" w:hAnsi="Times New Roman" w:eastAsia="Calibri" w:cs="Times New Roman"/>
          <w:sz w:val="20"/>
          <w:szCs w:val="20"/>
          <w:lang w:val="en-US"/>
        </w:rPr>
        <w:t>edenokanlawal@gmail.com</w:t>
      </w:r>
      <w:r>
        <w:rPr>
          <w:rStyle w:val="12"/>
          <w:rFonts w:ascii="Times New Roman" w:hAnsi="Times New Roman" w:eastAsia="Calibri" w:cs="Times New Roman"/>
          <w:sz w:val="20"/>
          <w:szCs w:val="20"/>
          <w:lang w:val="en-US"/>
        </w:rPr>
        <w:fldChar w:fldCharType="end"/>
      </w:r>
      <w:r>
        <w:rPr>
          <w:rFonts w:ascii="Times New Roman" w:hAnsi="Times New Roman" w:eastAsia="Calibri" w:cs="Times New Roman"/>
          <w:sz w:val="20"/>
          <w:szCs w:val="20"/>
          <w:lang w:val="en-US"/>
        </w:rPr>
        <w:t>; +2348034444657</w:t>
      </w:r>
    </w:p>
    <w:p w14:paraId="35667E1C">
      <w:pPr>
        <w:spacing w:before="120" w:after="0" w:line="240" w:lineRule="auto"/>
        <w:rPr>
          <w:rFonts w:ascii="Times New Roman" w:hAnsi="Times New Roman" w:eastAsia="Calibri" w:cs="Times New Roman"/>
          <w:color w:val="000000" w:themeColor="text1"/>
          <w:lang w:val="en-US"/>
        </w:rPr>
      </w:pPr>
      <w:r>
        <w:rPr>
          <w:rFonts w:ascii="Times New Roman" w:hAnsi="Times New Roman" w:eastAsia="Calibri" w:cs="Times New Roman"/>
          <w:b/>
          <w:color w:val="000000" w:themeColor="text1"/>
          <w:lang w:val="en-US"/>
        </w:rPr>
        <w:t>ABSTRACT</w:t>
      </w:r>
    </w:p>
    <w:p w14:paraId="75FB80E7">
      <w:pPr>
        <w:pStyle w:val="13"/>
        <w:spacing w:line="276" w:lineRule="auto"/>
        <w:rPr>
          <w:bCs w:val="0"/>
          <w:color w:val="000000" w:themeColor="text1"/>
          <w:sz w:val="20"/>
          <w:szCs w:val="20"/>
          <w:lang w:val="en-GB"/>
        </w:rPr>
      </w:pPr>
      <w:r>
        <w:rPr>
          <w:color w:val="000000" w:themeColor="text1"/>
          <w:sz w:val="20"/>
          <w:szCs w:val="20"/>
        </w:rPr>
        <w:t xml:space="preserve">Phytobiotics are plant-derived products that serve as natural growth promoters and can be used in diets of livestock to improve overall performance. One hundred and twenty (120) unsexed day-old Ross 308 chicks were used for this study Using a completely randomized design (CRD), the chicks were allotted to four (4) dietary treatments of 30 chicks per treatment and 3 replicates of 10 chicks each: </w:t>
      </w:r>
      <w:r>
        <w:rPr>
          <w:rFonts w:eastAsia="Times New Roman"/>
          <w:color w:val="000000" w:themeColor="text1"/>
          <w:sz w:val="20"/>
          <w:szCs w:val="20"/>
        </w:rPr>
        <w:t>T1 (Control diet; T2 (Thorn apple fruit:2g/kg f feed); T3 (Thorn apple leaf: 2g/kg of feed) and T4 (Thorn apple fruit 1g/kg of feed and leaf 1g/kg of feed)</w:t>
      </w:r>
      <w:r>
        <w:rPr>
          <w:color w:val="000000" w:themeColor="text1"/>
          <w:sz w:val="20"/>
          <w:szCs w:val="20"/>
        </w:rPr>
        <w:t>. The experiment lasted for six weeks. Data on Growth, carcass, organ characteristics, nutrient digestibility and blood profile were collected. The highest (P≤0.05) weight-gain (3249.16g) was recorded with broiler chicks fed diet containing T4</w:t>
      </w:r>
      <w:r>
        <w:rPr>
          <w:rFonts w:eastAsia="Times New Roman"/>
          <w:color w:val="000000" w:themeColor="text1"/>
          <w:sz w:val="20"/>
          <w:szCs w:val="20"/>
        </w:rPr>
        <w:t xml:space="preserve"> while lowest weight-gain (3207.14g) was recorded with broiler chicks fed diet containing T2. </w:t>
      </w:r>
      <w:r>
        <w:rPr>
          <w:color w:val="000000" w:themeColor="text1"/>
          <w:sz w:val="20"/>
          <w:szCs w:val="20"/>
        </w:rPr>
        <w:t>Feed conversion ratio (FCR) was also significantly (P≤0.05) lower (1.60) with chicks fed diet T4 while the highest FCR (1.78) was record in chicks fed diet T2</w:t>
      </w:r>
      <w:r>
        <w:rPr>
          <w:rFonts w:eastAsia="Times New Roman"/>
          <w:color w:val="000000" w:themeColor="text1"/>
          <w:sz w:val="20"/>
          <w:szCs w:val="20"/>
        </w:rPr>
        <w:t xml:space="preserve">.Those chicks fed the diet T4 also had the highest value (P≤0.05) of carcass weight (2847.00g) while those fed the diet T3 had the lowest (2430.00g). </w:t>
      </w:r>
      <w:r>
        <w:rPr>
          <w:bCs w:val="0"/>
          <w:color w:val="000000" w:themeColor="text1"/>
          <w:sz w:val="20"/>
          <w:szCs w:val="20"/>
        </w:rPr>
        <w:t xml:space="preserve">Packed cell volume ranged from 22.55% (T1) to 25.54% (T2), while red blood cell count ranged from 1.84 × 10⁶/µL to 2.06 × 10⁶/µL. </w:t>
      </w:r>
      <w:r>
        <w:rPr>
          <w:color w:val="000000" w:themeColor="text1"/>
          <w:sz w:val="20"/>
          <w:szCs w:val="20"/>
        </w:rPr>
        <w:t xml:space="preserve">The study concluded that thorn apple fruit and leaf blend had positive effects on growth performance, carcass, organ characteristics, nutrient digestibility, and blood profile of broiler chicken. Thus, a combination of </w:t>
      </w:r>
      <w:r>
        <w:rPr>
          <w:rFonts w:eastAsia="Times New Roman"/>
          <w:color w:val="000000" w:themeColor="text1"/>
          <w:sz w:val="20"/>
          <w:szCs w:val="20"/>
        </w:rPr>
        <w:t xml:space="preserve">apple fruit 1g per kg of feed and leaf 1g per kg of feed </w:t>
      </w:r>
      <w:r>
        <w:rPr>
          <w:color w:val="000000" w:themeColor="text1"/>
          <w:sz w:val="20"/>
          <w:szCs w:val="20"/>
        </w:rPr>
        <w:t>is recommended for improved overall performance and health status of broiler chicks.</w:t>
      </w:r>
    </w:p>
    <w:p w14:paraId="5EADF53D">
      <w:pPr>
        <w:pBdr>
          <w:bottom w:val="single" w:color="auto" w:sz="4" w:space="1"/>
        </w:pBdr>
        <w:spacing w:after="120" w:line="240" w:lineRule="auto"/>
        <w:jc w:val="both"/>
        <w:rPr>
          <w:rFonts w:ascii="Times New Roman" w:hAnsi="Times New Roman" w:eastAsia="Calibri" w:cs="Times New Roman"/>
          <w:b/>
          <w:color w:val="000000" w:themeColor="text1"/>
          <w:sz w:val="20"/>
          <w:szCs w:val="20"/>
          <w:lang w:val="en-US"/>
        </w:rPr>
      </w:pPr>
    </w:p>
    <w:p w14:paraId="012093F9">
      <w:pPr>
        <w:pBdr>
          <w:bottom w:val="single" w:color="auto" w:sz="4" w:space="1"/>
        </w:pBdr>
        <w:spacing w:after="120" w:line="240" w:lineRule="auto"/>
        <w:jc w:val="both"/>
        <w:rPr>
          <w:rFonts w:ascii="Times New Roman" w:hAnsi="Times New Roman" w:cs="Times New Roman"/>
          <w:color w:val="000000" w:themeColor="text1"/>
          <w:sz w:val="20"/>
          <w:szCs w:val="20"/>
        </w:rPr>
      </w:pPr>
      <w:r>
        <w:rPr>
          <w:rFonts w:ascii="Times New Roman" w:hAnsi="Times New Roman" w:eastAsia="Calibri" w:cs="Times New Roman"/>
          <w:b/>
          <w:color w:val="000000" w:themeColor="text1"/>
          <w:sz w:val="20"/>
          <w:szCs w:val="20"/>
          <w:lang w:val="en-US"/>
        </w:rPr>
        <w:t>Keywords:</w:t>
      </w:r>
      <w:r>
        <w:rPr>
          <w:rFonts w:ascii="Times New Roman" w:hAnsi="Times New Roman" w:cs="Times New Roman"/>
          <w:color w:val="000000" w:themeColor="text1"/>
          <w:sz w:val="20"/>
          <w:szCs w:val="20"/>
        </w:rPr>
        <w:t xml:space="preserve"> Broilers; Growth performance, Thorn Apple (leaf, fruits)</w:t>
      </w:r>
    </w:p>
    <w:p w14:paraId="293AD16D">
      <w:pPr>
        <w:pBdr>
          <w:bottom w:val="single" w:color="auto" w:sz="4" w:space="1"/>
        </w:pBdr>
        <w:spacing w:after="120" w:line="240" w:lineRule="auto"/>
        <w:jc w:val="both"/>
        <w:rPr>
          <w:rFonts w:ascii="Times New Roman" w:hAnsi="Times New Roman" w:eastAsia="Calibri" w:cs="Times New Roman"/>
          <w:iCs/>
          <w:color w:val="000000" w:themeColor="text1"/>
          <w:sz w:val="20"/>
          <w:szCs w:val="20"/>
          <w:lang w:val="en-US"/>
        </w:rPr>
        <w:sectPr>
          <w:headerReference r:id="rId5" w:type="default"/>
          <w:footerReference r:id="rId6" w:type="default"/>
          <w:pgSz w:w="11907" w:h="16839"/>
          <w:pgMar w:top="1382" w:right="837" w:bottom="1382" w:left="893" w:header="720" w:footer="720" w:gutter="0"/>
          <w:pgNumType w:start="224"/>
          <w:cols w:space="288" w:num="1"/>
          <w:docGrid w:linePitch="360" w:charSpace="0"/>
        </w:sectPr>
      </w:pPr>
    </w:p>
    <w:p w14:paraId="1A5E8AB2">
      <w:pPr>
        <w:spacing w:after="0"/>
        <w:jc w:val="both"/>
        <w:rPr>
          <w:rFonts w:ascii="Times New Roman" w:hAnsi="Times New Roman" w:eastAsia="Calibri" w:cs="Times New Roman"/>
          <w:b/>
          <w:bCs/>
          <w:iCs/>
          <w:color w:val="000000" w:themeColor="text1"/>
          <w:sz w:val="20"/>
          <w:szCs w:val="20"/>
          <w:lang w:val="en-US"/>
        </w:rPr>
      </w:pPr>
      <w:r>
        <w:rPr>
          <w:rFonts w:ascii="Times New Roman" w:hAnsi="Times New Roman" w:eastAsia="Calibri" w:cs="Times New Roman"/>
          <w:b/>
          <w:bCs/>
          <w:iCs/>
          <w:color w:val="000000" w:themeColor="text1"/>
          <w:sz w:val="20"/>
          <w:szCs w:val="20"/>
          <w:lang w:val="en-US"/>
        </w:rPr>
        <w:t>INTRODUCTION</w:t>
      </w:r>
    </w:p>
    <w:p w14:paraId="4EF793F8">
      <w:pPr>
        <w:autoSpaceDE w:val="0"/>
        <w:autoSpaceDN w:val="0"/>
        <w:adjustRightInd w:val="0"/>
        <w:spacing w:after="0"/>
        <w:jc w:val="both"/>
        <w:rPr>
          <w:rFonts w:ascii="Times New Roman" w:hAnsi="Times New Roman" w:cs="Times New Roman"/>
          <w:sz w:val="20"/>
          <w:szCs w:val="20"/>
        </w:rPr>
      </w:pPr>
      <w:r>
        <w:rPr>
          <w:rFonts w:ascii="Times New Roman" w:hAnsi="Times New Roman" w:cs="Times New Roman"/>
          <w:sz w:val="20"/>
          <w:szCs w:val="20"/>
        </w:rPr>
        <w:t xml:space="preserve">The demand from consumers for natural, safe, and nutrient-dense animal feed presents a challenge for animal nutrition. Growing consumer interest in natural bioactive components has led to the use of herbal plants as advantageous ingredients in the food and feed production industries to replacement of potentially hazardous synthetic additives (Sacchetti </w:t>
      </w:r>
      <w:r>
        <w:rPr>
          <w:rFonts w:ascii="Times New Roman" w:hAnsi="Times New Roman" w:cs="Times New Roman"/>
          <w:i/>
          <w:sz w:val="20"/>
          <w:szCs w:val="20"/>
        </w:rPr>
        <w:t>et al.,</w:t>
      </w:r>
      <w:r>
        <w:rPr>
          <w:rFonts w:ascii="Times New Roman" w:hAnsi="Times New Roman" w:cs="Times New Roman"/>
          <w:sz w:val="20"/>
          <w:szCs w:val="20"/>
        </w:rPr>
        <w:t xml:space="preserve"> 2005). These sectors are currently looking for effective, safe compounds with proven advantages. Medicinal plants are inexpensive, dependable, readily available, and have low toxicity, thus, they are widely used and accepted in medical care worldwide, and by people of all faiths. Plants of antimicrobial, antioxidant, anti-infectious, and anti-tumor properties are the earliest materials utilized to treat variety of illnesses among the medicinal and pharmacological benefits of certain plants (Olayeni </w:t>
      </w:r>
      <w:r>
        <w:rPr>
          <w:rFonts w:ascii="Times New Roman" w:hAnsi="Times New Roman" w:cs="Times New Roman"/>
          <w:i/>
          <w:sz w:val="20"/>
          <w:szCs w:val="20"/>
        </w:rPr>
        <w:t>et al</w:t>
      </w:r>
      <w:r>
        <w:rPr>
          <w:rFonts w:ascii="Times New Roman" w:hAnsi="Times New Roman" w:cs="Times New Roman"/>
          <w:sz w:val="20"/>
          <w:szCs w:val="20"/>
        </w:rPr>
        <w:t xml:space="preserve">., 2025). Many nations have made extensive use of herbal medicine as a fundamental component of primary healthcare (Akinyemi </w:t>
      </w:r>
      <w:r>
        <w:rPr>
          <w:rFonts w:ascii="Times New Roman" w:hAnsi="Times New Roman" w:cs="Times New Roman"/>
          <w:i/>
          <w:sz w:val="20"/>
          <w:szCs w:val="20"/>
        </w:rPr>
        <w:t>et al</w:t>
      </w:r>
      <w:r>
        <w:rPr>
          <w:rFonts w:ascii="Times New Roman" w:hAnsi="Times New Roman" w:cs="Times New Roman"/>
          <w:sz w:val="20"/>
          <w:szCs w:val="20"/>
        </w:rPr>
        <w:t xml:space="preserve">., 2005). </w:t>
      </w:r>
    </w:p>
    <w:p w14:paraId="210CFF4D">
      <w:pPr>
        <w:autoSpaceDE w:val="0"/>
        <w:autoSpaceDN w:val="0"/>
        <w:adjustRightInd w:val="0"/>
        <w:spacing w:after="0"/>
        <w:jc w:val="both"/>
        <w:rPr>
          <w:rFonts w:ascii="Times New Roman" w:hAnsi="Times New Roman" w:cs="Times New Roman"/>
          <w:sz w:val="20"/>
          <w:szCs w:val="20"/>
        </w:rPr>
      </w:pPr>
      <w:r>
        <w:rPr>
          <w:rFonts w:ascii="Times New Roman" w:hAnsi="Times New Roman" w:cs="Times New Roman"/>
          <w:sz w:val="20"/>
          <w:szCs w:val="20"/>
        </w:rPr>
        <w:t xml:space="preserve">Feed additives are minor components of the animal ration that are used for improving the quality or digestibility of feed, improving the nutritive and aesthetic quality of food or improving animal performance and health. </w:t>
      </w:r>
    </w:p>
    <w:p w14:paraId="1B817E07">
      <w:pPr>
        <w:spacing w:after="0"/>
        <w:jc w:val="both"/>
        <w:rPr>
          <w:rFonts w:ascii="Times New Roman" w:hAnsi="Times New Roman" w:cs="Times New Roman"/>
          <w:sz w:val="20"/>
          <w:szCs w:val="20"/>
        </w:rPr>
      </w:pPr>
      <w:r>
        <w:rPr>
          <w:rFonts w:ascii="Times New Roman" w:hAnsi="Times New Roman" w:cs="Times New Roman"/>
          <w:sz w:val="20"/>
          <w:szCs w:val="20"/>
        </w:rPr>
        <w:t xml:space="preserve">The main aim of adding feed additives to the diet of broiler chickens is to improve the growth rate, achieve better feed conversion efficiency, greater liveability and reduced mortality. </w:t>
      </w:r>
    </w:p>
    <w:p w14:paraId="1C0CDB66">
      <w:pPr>
        <w:spacing w:after="0"/>
        <w:jc w:val="both"/>
        <w:rPr>
          <w:rFonts w:ascii="Times New Roman" w:hAnsi="Times New Roman" w:cs="Times New Roman"/>
          <w:sz w:val="20"/>
          <w:szCs w:val="20"/>
        </w:rPr>
      </w:pPr>
      <w:r>
        <w:rPr>
          <w:rFonts w:ascii="Times New Roman" w:hAnsi="Times New Roman" w:cs="Times New Roman"/>
          <w:sz w:val="20"/>
          <w:szCs w:val="20"/>
        </w:rPr>
        <w:t xml:space="preserve">It was reported that up to one third of all commercial chicken rations in most part of the world is now a mixture of herbs and spices to accelerate growth and maintain health (Okanlawon </w:t>
      </w:r>
      <w:r>
        <w:rPr>
          <w:rFonts w:ascii="Times New Roman" w:hAnsi="Times New Roman" w:cs="Times New Roman"/>
          <w:i/>
          <w:iCs/>
          <w:sz w:val="20"/>
          <w:szCs w:val="20"/>
        </w:rPr>
        <w:t>et al.,</w:t>
      </w:r>
      <w:r>
        <w:rPr>
          <w:rFonts w:ascii="Times New Roman" w:hAnsi="Times New Roman" w:cs="Times New Roman"/>
          <w:sz w:val="20"/>
          <w:szCs w:val="20"/>
        </w:rPr>
        <w:t xml:space="preserve"> 2024, Okanlawon </w:t>
      </w:r>
      <w:r>
        <w:rPr>
          <w:rFonts w:ascii="Times New Roman" w:hAnsi="Times New Roman" w:cs="Times New Roman"/>
          <w:i/>
          <w:sz w:val="20"/>
          <w:szCs w:val="20"/>
        </w:rPr>
        <w:t>et al</w:t>
      </w:r>
      <w:r>
        <w:rPr>
          <w:rFonts w:ascii="Times New Roman" w:hAnsi="Times New Roman" w:cs="Times New Roman"/>
          <w:sz w:val="20"/>
          <w:szCs w:val="20"/>
        </w:rPr>
        <w:t>., 2025).</w:t>
      </w:r>
    </w:p>
    <w:p w14:paraId="270AB798">
      <w:pPr>
        <w:spacing w:after="0"/>
        <w:jc w:val="both"/>
        <w:rPr>
          <w:rFonts w:ascii="Times New Roman" w:hAnsi="Times New Roman" w:cs="Times New Roman"/>
          <w:sz w:val="20"/>
          <w:szCs w:val="20"/>
        </w:rPr>
      </w:pPr>
      <w:r>
        <w:rPr>
          <w:rFonts w:ascii="Times New Roman" w:hAnsi="Times New Roman" w:eastAsia="Times New Roman" w:cs="Times New Roman"/>
          <w:color w:val="000000"/>
          <w:sz w:val="20"/>
          <w:szCs w:val="20"/>
          <w:lang w:val="en-US"/>
        </w:rPr>
        <w:t>This study focused on the synergetic effects of phyto-additives.</w:t>
      </w:r>
      <w:r>
        <w:rPr>
          <w:rFonts w:ascii="Times New Roman" w:hAnsi="Times New Roman" w:cs="Times New Roman"/>
          <w:iCs/>
          <w:sz w:val="20"/>
          <w:szCs w:val="20"/>
        </w:rPr>
        <w:t>Thorn apple leaf and seed</w:t>
      </w:r>
      <w:r>
        <w:rPr>
          <w:rFonts w:ascii="Times New Roman" w:hAnsi="Times New Roman" w:cs="Times New Roman"/>
          <w:sz w:val="20"/>
          <w:szCs w:val="20"/>
        </w:rPr>
        <w:t xml:space="preserve"> have been regarded as good sources of natural medicine and antioxidants which are capable of preventing stress and potential diseases in animals (Olusola </w:t>
      </w:r>
      <w:r>
        <w:rPr>
          <w:rFonts w:ascii="Times New Roman" w:hAnsi="Times New Roman" w:cs="Times New Roman"/>
          <w:i/>
          <w:iCs/>
          <w:sz w:val="20"/>
          <w:szCs w:val="20"/>
        </w:rPr>
        <w:t>et al.,</w:t>
      </w:r>
      <w:r>
        <w:rPr>
          <w:rFonts w:ascii="Times New Roman" w:hAnsi="Times New Roman" w:cs="Times New Roman"/>
          <w:sz w:val="20"/>
          <w:szCs w:val="20"/>
        </w:rPr>
        <w:t xml:space="preserve"> 2018; Rafiu </w:t>
      </w:r>
      <w:r>
        <w:rPr>
          <w:rFonts w:ascii="Times New Roman" w:hAnsi="Times New Roman" w:cs="Times New Roman"/>
          <w:i/>
          <w:iCs/>
          <w:sz w:val="20"/>
          <w:szCs w:val="20"/>
        </w:rPr>
        <w:t>et al.,</w:t>
      </w:r>
      <w:r>
        <w:rPr>
          <w:rFonts w:ascii="Times New Roman" w:hAnsi="Times New Roman" w:cs="Times New Roman"/>
          <w:sz w:val="20"/>
          <w:szCs w:val="20"/>
        </w:rPr>
        <w:t xml:space="preserve"> 2025). They have some chemical substances which can nourish, heal and improve different organisms (Eshun &amp; He, 2004). The increased restrictions on the use of synthetic growth promoters and feed based probiotics in poultry production, results in a growing need to explore natural, plant-based alternatives that are effective, safe, and affordable. Thorn apple (</w:t>
      </w:r>
      <w:r>
        <w:rPr>
          <w:rFonts w:ascii="Times New Roman" w:hAnsi="Times New Roman" w:cs="Times New Roman"/>
          <w:i/>
          <w:iCs/>
          <w:sz w:val="20"/>
          <w:szCs w:val="20"/>
        </w:rPr>
        <w:t>Datura stramonium</w:t>
      </w:r>
      <w:r>
        <w:rPr>
          <w:rFonts w:ascii="Times New Roman" w:hAnsi="Times New Roman" w:cs="Times New Roman"/>
          <w:iCs/>
          <w:sz w:val="20"/>
          <w:szCs w:val="20"/>
        </w:rPr>
        <w:t xml:space="preserve">) contains phytochemicals that may improve digestion, enhance gut health, and support growth according to (Rafiu </w:t>
      </w:r>
      <w:r>
        <w:rPr>
          <w:rFonts w:ascii="Times New Roman" w:hAnsi="Times New Roman" w:cs="Times New Roman"/>
          <w:i/>
          <w:iCs/>
          <w:sz w:val="20"/>
          <w:szCs w:val="20"/>
        </w:rPr>
        <w:t>et al</w:t>
      </w:r>
      <w:r>
        <w:rPr>
          <w:rFonts w:ascii="Times New Roman" w:hAnsi="Times New Roman" w:cs="Times New Roman"/>
          <w:iCs/>
          <w:sz w:val="20"/>
          <w:szCs w:val="20"/>
        </w:rPr>
        <w:t>., 2025)</w:t>
      </w:r>
      <w:r>
        <w:rPr>
          <w:rFonts w:ascii="Times New Roman" w:hAnsi="Times New Roman" w:cs="Times New Roman"/>
          <w:sz w:val="20"/>
          <w:szCs w:val="20"/>
        </w:rPr>
        <w:t>.</w:t>
      </w:r>
    </w:p>
    <w:p w14:paraId="4BB487A0">
      <w:pPr>
        <w:spacing w:after="0"/>
        <w:jc w:val="both"/>
        <w:rPr>
          <w:rFonts w:ascii="Times New Roman" w:hAnsi="Times New Roman" w:cs="Times New Roman"/>
          <w:sz w:val="20"/>
          <w:szCs w:val="20"/>
        </w:rPr>
      </w:pPr>
      <w:r>
        <w:rPr>
          <w:rFonts w:ascii="Times New Roman" w:hAnsi="Times New Roman" w:cs="Times New Roman"/>
          <w:color w:val="000000"/>
          <w:sz w:val="20"/>
          <w:szCs w:val="20"/>
          <w:lang w:val="en-US"/>
        </w:rPr>
        <w:t xml:space="preserve">Phytobiotics are limited in action due to plant species, soil types, location and weather condition. Processing and storage conditions may also affect composition of plants and potency of their active ingredients (Okanlawon </w:t>
      </w:r>
      <w:r>
        <w:rPr>
          <w:rFonts w:ascii="Times New Roman" w:hAnsi="Times New Roman" w:cs="Times New Roman"/>
          <w:i/>
          <w:iCs/>
          <w:color w:val="000000"/>
          <w:sz w:val="20"/>
          <w:szCs w:val="20"/>
          <w:lang w:val="en-US"/>
        </w:rPr>
        <w:t xml:space="preserve">et al., </w:t>
      </w:r>
      <w:r>
        <w:rPr>
          <w:rFonts w:ascii="Times New Roman" w:hAnsi="Times New Roman" w:cs="Times New Roman"/>
          <w:color w:val="000000"/>
          <w:sz w:val="20"/>
          <w:szCs w:val="20"/>
          <w:lang w:val="en-US"/>
        </w:rPr>
        <w:t>2024). Due to variation in nutrient compositions of thorn apple seed and leaf, t</w:t>
      </w:r>
      <w:r>
        <w:rPr>
          <w:rFonts w:ascii="Times New Roman" w:hAnsi="Times New Roman" w:cs="Times New Roman"/>
          <w:sz w:val="20"/>
          <w:szCs w:val="20"/>
        </w:rPr>
        <w:t>his study therefore targeted the provision of scientific evidence on its efficacy and safety, contributing to sustainable poultry production and offering farmers a potential low-cost alternative to synthetic additives.</w:t>
      </w:r>
    </w:p>
    <w:p w14:paraId="625F4503">
      <w:pPr>
        <w:spacing w:after="0"/>
        <w:jc w:val="both"/>
        <w:rPr>
          <w:rFonts w:ascii="Times New Roman" w:hAnsi="Times New Roman" w:cs="Times New Roman"/>
          <w:sz w:val="20"/>
          <w:szCs w:val="20"/>
        </w:rPr>
      </w:pPr>
    </w:p>
    <w:p w14:paraId="103FDB24">
      <w:pPr>
        <w:spacing w:after="0"/>
        <w:jc w:val="both"/>
        <w:rPr>
          <w:rFonts w:ascii="Times New Roman" w:hAnsi="Times New Roman" w:cs="Times New Roman"/>
          <w:b/>
          <w:sz w:val="20"/>
          <w:szCs w:val="20"/>
        </w:rPr>
      </w:pPr>
      <w:r>
        <w:rPr>
          <w:rFonts w:ascii="Times New Roman" w:hAnsi="Times New Roman" w:cs="Times New Roman"/>
          <w:b/>
          <w:sz w:val="20"/>
          <w:szCs w:val="20"/>
        </w:rPr>
        <w:t>MATERIALS AND METHODS</w:t>
      </w:r>
    </w:p>
    <w:p w14:paraId="2C0EA783">
      <w:pPr>
        <w:spacing w:after="0"/>
        <w:jc w:val="both"/>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The experiment was carried out at the Poultry Unit of the Teaching and Research Farm, Faculty of Agricultural Science, Ladoke Akintola University of Technology, Ogbomoso, Oyo state, Nigeria. Ogbomoso is situated in the derived savanna zone of Nigeria on the Longitude 4</w:t>
      </w:r>
      <w:r>
        <w:rPr>
          <w:rFonts w:ascii="Times New Roman" w:hAnsi="Times New Roman" w:eastAsia="Times New Roman" w:cs="Times New Roman"/>
          <w:sz w:val="20"/>
          <w:szCs w:val="20"/>
          <w:vertAlign w:val="superscript"/>
          <w:lang w:val="en-US"/>
        </w:rPr>
        <w:t>0</w:t>
      </w:r>
      <w:r>
        <w:rPr>
          <w:rFonts w:ascii="Times New Roman" w:hAnsi="Times New Roman" w:eastAsia="Times New Roman" w:cs="Times New Roman"/>
          <w:sz w:val="20"/>
          <w:szCs w:val="20"/>
          <w:lang w:val="en-US"/>
        </w:rPr>
        <w:t>5</w:t>
      </w:r>
      <w:r>
        <w:rPr>
          <w:rFonts w:ascii="Times New Roman" w:hAnsi="Times New Roman" w:eastAsia="Times New Roman" w:cs="Times New Roman"/>
          <w:sz w:val="20"/>
          <w:szCs w:val="20"/>
          <w:vertAlign w:val="superscript"/>
          <w:lang w:val="en-US"/>
        </w:rPr>
        <w:t xml:space="preserve">1 </w:t>
      </w:r>
      <w:r>
        <w:rPr>
          <w:rFonts w:ascii="Times New Roman" w:hAnsi="Times New Roman" w:eastAsia="Times New Roman" w:cs="Times New Roman"/>
          <w:sz w:val="20"/>
          <w:szCs w:val="20"/>
          <w:lang w:val="en-US"/>
        </w:rPr>
        <w:t>East of Greenwich meridian and 8</w:t>
      </w:r>
      <w:r>
        <w:rPr>
          <w:rFonts w:ascii="Times New Roman" w:hAnsi="Times New Roman" w:eastAsia="Times New Roman" w:cs="Times New Roman"/>
          <w:sz w:val="20"/>
          <w:szCs w:val="20"/>
          <w:vertAlign w:val="superscript"/>
          <w:lang w:val="en-US"/>
        </w:rPr>
        <w:t>0</w:t>
      </w:r>
      <w:r>
        <w:rPr>
          <w:rFonts w:ascii="Times New Roman" w:hAnsi="Times New Roman" w:eastAsia="Times New Roman" w:cs="Times New Roman"/>
          <w:sz w:val="20"/>
          <w:szCs w:val="20"/>
          <w:lang w:val="en-US"/>
        </w:rPr>
        <w:t>15</w:t>
      </w:r>
      <w:r>
        <w:rPr>
          <w:rFonts w:ascii="Times New Roman" w:hAnsi="Times New Roman" w:eastAsia="Times New Roman" w:cs="Times New Roman"/>
          <w:sz w:val="20"/>
          <w:szCs w:val="20"/>
          <w:vertAlign w:val="superscript"/>
          <w:lang w:val="en-US"/>
        </w:rPr>
        <w:t xml:space="preserve">1 </w:t>
      </w:r>
      <w:r>
        <w:rPr>
          <w:rFonts w:ascii="Times New Roman" w:hAnsi="Times New Roman" w:eastAsia="Times New Roman" w:cs="Times New Roman"/>
          <w:sz w:val="20"/>
          <w:szCs w:val="20"/>
          <w:lang w:val="en-US"/>
        </w:rPr>
        <w:t xml:space="preserve">North East of the equator (Google Earth Map, 2025) </w:t>
      </w:r>
    </w:p>
    <w:p w14:paraId="350D1BF2">
      <w:pPr>
        <w:spacing w:after="0"/>
        <w:jc w:val="both"/>
        <w:rPr>
          <w:rFonts w:ascii="Times New Roman" w:hAnsi="Times New Roman" w:cs="Times New Roman"/>
          <w:b/>
          <w:bCs/>
          <w:color w:val="000000"/>
          <w:sz w:val="20"/>
          <w:szCs w:val="20"/>
          <w:lang w:val="en-US"/>
        </w:rPr>
      </w:pPr>
    </w:p>
    <w:p w14:paraId="292E2803">
      <w:pPr>
        <w:spacing w:after="0"/>
        <w:jc w:val="both"/>
        <w:rPr>
          <w:rFonts w:ascii="Times New Roman" w:hAnsi="Times New Roman" w:cs="Times New Roman"/>
          <w:sz w:val="20"/>
          <w:szCs w:val="20"/>
        </w:rPr>
      </w:pPr>
      <w:r>
        <w:rPr>
          <w:rFonts w:ascii="Times New Roman" w:hAnsi="Times New Roman" w:cs="Times New Roman"/>
          <w:b/>
          <w:bCs/>
          <w:color w:val="000000"/>
          <w:sz w:val="20"/>
          <w:szCs w:val="20"/>
          <w:lang w:val="en-US"/>
        </w:rPr>
        <w:t>PREPARATION OF TEST INGREDIENTS</w:t>
      </w:r>
    </w:p>
    <w:p w14:paraId="24403FEC">
      <w:pPr>
        <w:autoSpaceDE w:val="0"/>
        <w:autoSpaceDN w:val="0"/>
        <w:adjustRightInd w:val="0"/>
        <w:spacing w:after="0"/>
        <w:jc w:val="both"/>
        <w:rPr>
          <w:rFonts w:ascii="Times New Roman" w:hAnsi="Times New Roman" w:cs="Times New Roman"/>
          <w:sz w:val="20"/>
          <w:szCs w:val="20"/>
        </w:rPr>
      </w:pPr>
      <w:r>
        <w:rPr>
          <w:rFonts w:ascii="Times New Roman" w:hAnsi="Times New Roman" w:cs="Times New Roman"/>
          <w:sz w:val="20"/>
          <w:szCs w:val="20"/>
        </w:rPr>
        <w:t>Thorn apple was collected, cut into smaller sizes on a flat surface area and was shade dried until the weight remains constant and was milled into fine powdery form. T</w:t>
      </w:r>
      <w:r>
        <w:rPr>
          <w:rFonts w:ascii="Times New Roman" w:hAnsi="Times New Roman" w:cs="Times New Roman"/>
          <w:color w:val="000000"/>
          <w:sz w:val="20"/>
          <w:szCs w:val="20"/>
          <w:lang w:val="en-US"/>
        </w:rPr>
        <w:t>hereafter it was sieved and stored in air tight container until use</w:t>
      </w:r>
      <w:r>
        <w:rPr>
          <w:rFonts w:ascii="Times New Roman" w:hAnsi="Times New Roman" w:cs="Times New Roman"/>
          <w:sz w:val="20"/>
          <w:szCs w:val="20"/>
        </w:rPr>
        <w:t xml:space="preserve"> as reported by Rafiu </w:t>
      </w:r>
      <w:r>
        <w:rPr>
          <w:rFonts w:ascii="Times New Roman" w:hAnsi="Times New Roman" w:cs="Times New Roman"/>
          <w:i/>
          <w:iCs/>
          <w:sz w:val="20"/>
          <w:szCs w:val="20"/>
        </w:rPr>
        <w:t xml:space="preserve">et al. </w:t>
      </w:r>
      <w:r>
        <w:rPr>
          <w:rFonts w:ascii="Times New Roman" w:hAnsi="Times New Roman" w:cs="Times New Roman"/>
          <w:iCs/>
          <w:sz w:val="20"/>
          <w:szCs w:val="20"/>
        </w:rPr>
        <w:t>(</w:t>
      </w:r>
      <w:r>
        <w:rPr>
          <w:rFonts w:ascii="Times New Roman" w:hAnsi="Times New Roman" w:cs="Times New Roman"/>
          <w:sz w:val="20"/>
          <w:szCs w:val="20"/>
        </w:rPr>
        <w:t>2025).</w:t>
      </w:r>
    </w:p>
    <w:p w14:paraId="1DC77DBB">
      <w:pPr>
        <w:spacing w:after="0"/>
        <w:jc w:val="both"/>
        <w:rPr>
          <w:rFonts w:ascii="Times New Roman" w:hAnsi="Times New Roman" w:cs="Times New Roman"/>
          <w:b/>
          <w:bCs/>
          <w:color w:val="000000"/>
          <w:sz w:val="20"/>
          <w:szCs w:val="20"/>
          <w:lang w:val="en-US"/>
        </w:rPr>
      </w:pPr>
    </w:p>
    <w:p w14:paraId="1C2D4C4C">
      <w:pPr>
        <w:spacing w:after="0"/>
        <w:jc w:val="both"/>
        <w:rPr>
          <w:rFonts w:ascii="Times New Roman" w:hAnsi="Times New Roman" w:cs="Times New Roman"/>
          <w:b/>
          <w:bCs/>
          <w:color w:val="000000"/>
          <w:sz w:val="20"/>
          <w:szCs w:val="20"/>
          <w:lang w:val="en-US"/>
        </w:rPr>
      </w:pPr>
      <w:r>
        <w:rPr>
          <w:rFonts w:ascii="Times New Roman" w:hAnsi="Times New Roman" w:cs="Times New Roman"/>
          <w:b/>
          <w:bCs/>
          <w:color w:val="000000"/>
          <w:sz w:val="20"/>
          <w:szCs w:val="20"/>
          <w:lang w:val="en-US"/>
        </w:rPr>
        <w:t>ANIMALS AND MANAGEMENT</w:t>
      </w:r>
    </w:p>
    <w:p w14:paraId="51E1C253">
      <w:pPr>
        <w:jc w:val="both"/>
        <w:rPr>
          <w:rFonts w:ascii="Times New Roman" w:hAnsi="Times New Roman" w:cs="Times New Roman"/>
          <w:sz w:val="20"/>
          <w:szCs w:val="20"/>
        </w:rPr>
      </w:pPr>
      <w:r>
        <w:rPr>
          <w:rFonts w:ascii="Times New Roman" w:hAnsi="Times New Roman" w:cs="Times New Roman"/>
          <w:sz w:val="20"/>
          <w:szCs w:val="20"/>
        </w:rPr>
        <w:t xml:space="preserve">One hundred and twenty (120) unsexed day-old Ross 308 chicks were purchased from a reputable hatchery and used for the experiment. the chicks were allotted to four (4) dietary treatments of 30 per treatment and 3 replicates of 10 chicks each: </w:t>
      </w:r>
      <w:r>
        <w:rPr>
          <w:rFonts w:ascii="Times New Roman" w:hAnsi="Times New Roman" w:eastAsia="Times New Roman" w:cs="Times New Roman"/>
          <w:sz w:val="20"/>
          <w:szCs w:val="20"/>
        </w:rPr>
        <w:t>T1: Control diet, T2–Thorn apple fruit (2g of fruit per kg of feed), T3–Thorn apple leaf (2g of leaf per kg of feed) and T4–Thorn apple fruit and leaf (1g of fruit and 1g of leaf per kg of feed)</w:t>
      </w:r>
      <w:r>
        <w:rPr>
          <w:rFonts w:ascii="Times New Roman" w:hAnsi="Times New Roman" w:cs="Times New Roman"/>
          <w:sz w:val="20"/>
          <w:szCs w:val="20"/>
        </w:rPr>
        <w:t xml:space="preserve">.All management practices were strictly carried out. Feeds and water were given </w:t>
      </w:r>
      <w:r>
        <w:rPr>
          <w:rFonts w:ascii="Times New Roman" w:hAnsi="Times New Roman" w:cs="Times New Roman"/>
          <w:i/>
          <w:iCs/>
          <w:sz w:val="20"/>
          <w:szCs w:val="20"/>
        </w:rPr>
        <w:t xml:space="preserve">ad-libitum </w:t>
      </w:r>
      <w:r>
        <w:rPr>
          <w:rFonts w:ascii="Times New Roman" w:hAnsi="Times New Roman" w:cs="Times New Roman"/>
          <w:sz w:val="20"/>
          <w:szCs w:val="20"/>
        </w:rPr>
        <w:t>throughout the experimental period. The experiment lasted for six (6) weeks.</w:t>
      </w:r>
    </w:p>
    <w:p w14:paraId="6DA64C29">
      <w:pPr>
        <w:spacing w:after="0"/>
        <w:jc w:val="both"/>
        <w:rPr>
          <w:rFonts w:ascii="Times New Roman" w:hAnsi="Times New Roman" w:cs="Times New Roman"/>
          <w:b/>
          <w:sz w:val="20"/>
          <w:szCs w:val="20"/>
        </w:rPr>
      </w:pPr>
      <w:r>
        <w:rPr>
          <w:rFonts w:ascii="Times New Roman" w:hAnsi="Times New Roman" w:cs="Times New Roman"/>
          <w:b/>
          <w:sz w:val="20"/>
          <w:szCs w:val="20"/>
        </w:rPr>
        <w:t>DATA COLLECTION</w:t>
      </w:r>
    </w:p>
    <w:p w14:paraId="1D2F1802">
      <w:pPr>
        <w:spacing w:after="0"/>
        <w:jc w:val="both"/>
        <w:rPr>
          <w:rFonts w:ascii="Times New Roman" w:hAnsi="Times New Roman" w:cs="Times New Roman"/>
          <w:b/>
          <w:sz w:val="20"/>
          <w:szCs w:val="20"/>
        </w:rPr>
      </w:pPr>
      <w:r>
        <w:rPr>
          <w:rFonts w:ascii="Times New Roman" w:hAnsi="Times New Roman" w:cs="Times New Roman"/>
          <w:b/>
          <w:sz w:val="20"/>
          <w:szCs w:val="20"/>
        </w:rPr>
        <w:t>GROWTH PERFORMANCE</w:t>
      </w:r>
    </w:p>
    <w:p w14:paraId="64A139F7">
      <w:pPr>
        <w:spacing w:after="0"/>
        <w:jc w:val="both"/>
        <w:rPr>
          <w:rFonts w:ascii="Times New Roman" w:hAnsi="Times New Roman" w:cs="Times New Roman"/>
          <w:b/>
          <w:sz w:val="20"/>
          <w:szCs w:val="20"/>
        </w:rPr>
      </w:pPr>
      <w:r>
        <w:rPr>
          <w:rFonts w:ascii="Times New Roman" w:hAnsi="Times New Roman" w:cs="Times New Roman"/>
          <w:b/>
          <w:sz w:val="20"/>
          <w:szCs w:val="20"/>
        </w:rPr>
        <w:t>Weight gain</w:t>
      </w:r>
      <w:r>
        <w:rPr>
          <w:rFonts w:ascii="Times New Roman" w:hAnsi="Times New Roman" w:cs="Times New Roman"/>
          <w:sz w:val="20"/>
          <w:szCs w:val="20"/>
        </w:rPr>
        <w:t xml:space="preserve"> (g) = Final weight (g) - Initial body weight (g)</w:t>
      </w:r>
    </w:p>
    <w:p w14:paraId="3FC5E485">
      <w:pPr>
        <w:pStyle w:val="22"/>
        <w:spacing w:after="0"/>
        <w:ind w:left="0"/>
        <w:jc w:val="both"/>
        <w:rPr>
          <w:rFonts w:ascii="Times New Roman" w:hAnsi="Times New Roman"/>
          <w:b/>
          <w:sz w:val="20"/>
          <w:szCs w:val="20"/>
        </w:rPr>
      </w:pPr>
      <w:r>
        <w:rPr>
          <w:rFonts w:ascii="Times New Roman" w:hAnsi="Times New Roman"/>
          <w:b/>
          <w:sz w:val="20"/>
          <w:szCs w:val="20"/>
        </w:rPr>
        <w:t xml:space="preserve">Feed Intake </w:t>
      </w:r>
      <w:r>
        <w:rPr>
          <w:rFonts w:ascii="Times New Roman" w:hAnsi="Times New Roman"/>
          <w:sz w:val="20"/>
          <w:szCs w:val="20"/>
        </w:rPr>
        <w:t>(g) = (Quantity served – Leftover)</w:t>
      </w:r>
    </w:p>
    <w:p w14:paraId="2D30DE13">
      <w:pPr>
        <w:tabs>
          <w:tab w:val="left" w:pos="1181"/>
        </w:tabs>
        <w:spacing w:after="0"/>
        <w:jc w:val="both"/>
        <w:rPr>
          <w:rFonts w:ascii="Times New Roman" w:hAnsi="Times New Roman" w:cs="Times New Roman"/>
          <w:b/>
          <w:sz w:val="20"/>
          <w:szCs w:val="20"/>
        </w:rPr>
      </w:pPr>
      <w:r>
        <w:rPr>
          <w:rFonts w:ascii="Times New Roman" w:hAnsi="Times New Roman" w:cs="Times New Roman"/>
          <w:b/>
          <w:sz w:val="20"/>
          <w:szCs w:val="20"/>
        </w:rPr>
        <w:t xml:space="preserve">Feed Conversion Ratio </w:t>
      </w:r>
      <w:r>
        <w:rPr>
          <w:rFonts w:ascii="Times New Roman" w:hAnsi="Times New Roman" w:cs="Times New Roman"/>
          <w:sz w:val="20"/>
          <w:szCs w:val="20"/>
        </w:rPr>
        <w:t>(FCR) =</w:t>
      </w:r>
      <w:r>
        <w:rPr>
          <w:rFonts w:ascii="Times New Roman" w:hAnsi="Times New Roman" w:cs="Times New Roman"/>
          <w:sz w:val="20"/>
          <w:szCs w:val="20"/>
        </w:rPr>
        <w:tab/>
      </w:r>
      <w:r>
        <w:rPr>
          <w:rFonts w:ascii="Times New Roman" w:hAnsi="Times New Roman" w:cs="Times New Roman"/>
          <w:sz w:val="20"/>
          <w:szCs w:val="20"/>
          <w:u w:val="single"/>
        </w:rPr>
        <w:t xml:space="preserve">  feed intake (g)</w:t>
      </w:r>
    </w:p>
    <w:p w14:paraId="5306FE84">
      <w:pPr>
        <w:tabs>
          <w:tab w:val="left" w:pos="1181"/>
        </w:tabs>
        <w:spacing w:after="0"/>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 xml:space="preserve">  weight gain(g)</w:t>
      </w:r>
    </w:p>
    <w:p w14:paraId="202C9090">
      <w:pPr>
        <w:tabs>
          <w:tab w:val="left" w:pos="1181"/>
        </w:tabs>
        <w:spacing w:after="0"/>
        <w:rPr>
          <w:rFonts w:ascii="Times New Roman" w:hAnsi="Times New Roman" w:cs="Times New Roman"/>
          <w:b/>
          <w:sz w:val="20"/>
          <w:szCs w:val="20"/>
        </w:rPr>
      </w:pPr>
    </w:p>
    <w:p w14:paraId="55F438C9">
      <w:pPr>
        <w:tabs>
          <w:tab w:val="left" w:pos="1181"/>
        </w:tabs>
        <w:spacing w:after="0"/>
        <w:rPr>
          <w:rFonts w:ascii="Times New Roman" w:hAnsi="Times New Roman" w:cs="Times New Roman"/>
          <w:b/>
          <w:sz w:val="20"/>
          <w:szCs w:val="20"/>
        </w:rPr>
      </w:pPr>
      <w:r>
        <w:rPr>
          <w:rFonts w:ascii="Times New Roman" w:hAnsi="Times New Roman" w:cs="Times New Roman"/>
          <w:b/>
          <w:sz w:val="20"/>
          <w:szCs w:val="20"/>
        </w:rPr>
        <w:t xml:space="preserve">CARCASS CHARACTERISTICS </w:t>
      </w:r>
    </w:p>
    <w:p w14:paraId="7A135478">
      <w:pPr>
        <w:tabs>
          <w:tab w:val="left" w:pos="1181"/>
        </w:tabs>
        <w:spacing w:after="0"/>
        <w:jc w:val="both"/>
        <w:rPr>
          <w:rFonts w:ascii="Times New Roman" w:hAnsi="Times New Roman" w:cs="Times New Roman"/>
          <w:color w:val="FF0000"/>
          <w:sz w:val="20"/>
          <w:szCs w:val="20"/>
        </w:rPr>
      </w:pPr>
      <w:r>
        <w:rPr>
          <w:rFonts w:ascii="Times New Roman" w:hAnsi="Times New Roman" w:cs="Times New Roman"/>
          <w:sz w:val="20"/>
          <w:szCs w:val="20"/>
        </w:rPr>
        <w:t>At the end of 6 weeks experimental period, three chicks were randomly selected, and starved of feed for 12 hours but with the presence of abundant water. They were slaughtered by severing the jugular veins. The broilers were bled; defeathered after which their visceral organs (liver, intestine, pancreas, spleen, kidney, proventriculus, and heart were removed). The bled, defeathered and eviscerated weights of the broilers were evaluated. Their heads and shanks were removed to determine the</w:t>
      </w:r>
    </w:p>
    <w:p w14:paraId="6BF217A1">
      <w:pPr>
        <w:tabs>
          <w:tab w:val="left" w:pos="1181"/>
        </w:tabs>
        <w:spacing w:after="0"/>
        <w:rPr>
          <w:rFonts w:ascii="Times New Roman" w:hAnsi="Times New Roman" w:cs="Times New Roman"/>
          <w:sz w:val="20"/>
          <w:szCs w:val="20"/>
        </w:rPr>
      </w:pPr>
      <w:r>
        <w:rPr>
          <w:rFonts w:ascii="Times New Roman" w:hAnsi="Times New Roman" w:cs="Times New Roman"/>
          <w:sz w:val="20"/>
          <w:szCs w:val="20"/>
        </w:rPr>
        <w:t xml:space="preserve">Proportional weight of the organs =   </w:t>
      </w:r>
    </w:p>
    <w:p w14:paraId="73E6A30A">
      <w:pPr>
        <w:tabs>
          <w:tab w:val="left" w:pos="1181"/>
        </w:tabs>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W</w:t>
      </w:r>
      <w:r>
        <w:rPr>
          <w:rFonts w:ascii="Times New Roman" w:hAnsi="Times New Roman" w:cs="Times New Roman"/>
          <w:sz w:val="20"/>
          <w:szCs w:val="20"/>
          <w:u w:val="single"/>
        </w:rPr>
        <w:t>eight of the organs</w:t>
      </w:r>
      <w:r>
        <w:rPr>
          <w:rFonts w:ascii="Times New Roman" w:hAnsi="Times New Roman" w:cs="Times New Roman"/>
          <w:sz w:val="20"/>
          <w:szCs w:val="20"/>
        </w:rPr>
        <w:tab/>
      </w:r>
      <w:r>
        <w:rPr>
          <w:rFonts w:ascii="Times New Roman" w:hAnsi="Times New Roman" w:cs="Times New Roman"/>
          <w:sz w:val="20"/>
          <w:szCs w:val="20"/>
        </w:rPr>
        <w:t xml:space="preserve">     x 100</w:t>
      </w:r>
    </w:p>
    <w:p w14:paraId="5F066322">
      <w:pPr>
        <w:tabs>
          <w:tab w:val="left" w:pos="1181"/>
        </w:tabs>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Live weight of the chicken</w:t>
      </w:r>
    </w:p>
    <w:p w14:paraId="2AA50575">
      <w:pPr>
        <w:tabs>
          <w:tab w:val="left" w:pos="1181"/>
        </w:tabs>
        <w:spacing w:after="0"/>
        <w:rPr>
          <w:rFonts w:ascii="Times New Roman" w:hAnsi="Times New Roman" w:cs="Times New Roman"/>
          <w:sz w:val="20"/>
          <w:szCs w:val="20"/>
        </w:rPr>
      </w:pPr>
    </w:p>
    <w:p w14:paraId="28EF0BC4">
      <w:pPr>
        <w:tabs>
          <w:tab w:val="left" w:pos="1181"/>
        </w:tabs>
        <w:jc w:val="both"/>
        <w:rPr>
          <w:rFonts w:ascii="Times New Roman" w:hAnsi="Times New Roman" w:cs="Times New Roman"/>
          <w:sz w:val="20"/>
          <w:szCs w:val="20"/>
        </w:rPr>
      </w:pPr>
      <w:r>
        <w:rPr>
          <w:rFonts w:ascii="Times New Roman" w:hAnsi="Times New Roman" w:cs="Times New Roman"/>
          <w:sz w:val="20"/>
          <w:szCs w:val="20"/>
        </w:rPr>
        <w:t>The carcass was cut into various parts (thigh, breast, back, shank, drumstick, wings and head) and their weights were expressed in percentages relative to their carcases weights. Weights of the organs were also expressed in relative values. The following calculations were made:</w:t>
      </w:r>
    </w:p>
    <w:p w14:paraId="5EF3AF05">
      <w:pPr>
        <w:tabs>
          <w:tab w:val="left" w:pos="1181"/>
        </w:tabs>
        <w:spacing w:after="0"/>
        <w:rPr>
          <w:rFonts w:ascii="Times New Roman" w:hAnsi="Times New Roman" w:cs="Times New Roman"/>
          <w:sz w:val="20"/>
          <w:szCs w:val="20"/>
        </w:rPr>
      </w:pPr>
      <w:r>
        <w:rPr>
          <w:rFonts w:ascii="Times New Roman" w:hAnsi="Times New Roman" w:cs="Times New Roman"/>
          <w:sz w:val="20"/>
          <w:szCs w:val="20"/>
        </w:rPr>
        <w:t xml:space="preserve">Relative cut part-weight </w:t>
      </w:r>
      <w:r>
        <w:rPr>
          <w:rFonts w:ascii="Times New Roman" w:hAnsi="Times New Roman" w:cs="Times New Roman"/>
          <w:sz w:val="20"/>
          <w:szCs w:val="20"/>
        </w:rPr>
        <w:tab/>
      </w:r>
      <w:r>
        <w:rPr>
          <w:rFonts w:ascii="Times New Roman" w:hAnsi="Times New Roman" w:cs="Times New Roman"/>
          <w:sz w:val="20"/>
          <w:szCs w:val="20"/>
        </w:rPr>
        <w:t xml:space="preserve">=   </w:t>
      </w:r>
      <w:r>
        <w:rPr>
          <w:rFonts w:ascii="Times New Roman" w:hAnsi="Times New Roman" w:cs="Times New Roman"/>
          <w:sz w:val="20"/>
          <w:szCs w:val="20"/>
          <w:u w:val="single"/>
        </w:rPr>
        <w:t>Weight of the cut</w:t>
      </w:r>
      <w:r>
        <w:rPr>
          <w:rFonts w:ascii="Times New Roman" w:hAnsi="Times New Roman" w:cs="Times New Roman"/>
          <w:sz w:val="20"/>
          <w:szCs w:val="20"/>
        </w:rPr>
        <w:t xml:space="preserve">   x100</w:t>
      </w:r>
    </w:p>
    <w:p w14:paraId="7C824FA2">
      <w:pPr>
        <w:tabs>
          <w:tab w:val="left" w:pos="1181"/>
        </w:tabs>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 xml:space="preserve">     Carcass weight</w:t>
      </w:r>
    </w:p>
    <w:p w14:paraId="24D1D297">
      <w:pPr>
        <w:tabs>
          <w:tab w:val="left" w:pos="1181"/>
        </w:tabs>
        <w:spacing w:after="0"/>
        <w:rPr>
          <w:rFonts w:ascii="Times New Roman" w:hAnsi="Times New Roman" w:cs="Times New Roman"/>
          <w:sz w:val="20"/>
          <w:szCs w:val="20"/>
        </w:rPr>
      </w:pPr>
    </w:p>
    <w:p w14:paraId="4FC9C62F">
      <w:pPr>
        <w:snapToGrid w:val="0"/>
        <w:spacing w:after="0"/>
        <w:jc w:val="both"/>
        <w:rPr>
          <w:rFonts w:ascii="Times New Roman" w:hAnsi="Times New Roman" w:cs="Times New Roman"/>
          <w:b/>
          <w:bCs/>
          <w:sz w:val="20"/>
          <w:szCs w:val="20"/>
        </w:rPr>
      </w:pPr>
      <w:r>
        <w:rPr>
          <w:rFonts w:ascii="Times New Roman" w:hAnsi="Times New Roman" w:eastAsia="Times New Roman" w:cs="Times New Roman"/>
          <w:b/>
          <w:bCs/>
          <w:color w:val="000000"/>
          <w:sz w:val="20"/>
          <w:szCs w:val="20"/>
        </w:rPr>
        <w:t>NUTRIENT DIGESTIBILITY</w:t>
      </w:r>
    </w:p>
    <w:p w14:paraId="67CAE354">
      <w:pPr>
        <w:snapToGrid w:val="0"/>
        <w:spacing w:after="0"/>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Digestibility trial was conducted using 6 broilers per treatment (2 per replicate). They were randomly selected and transferred to metabolic cages equipped with facilities for separate feeding and collection of excreta. After a 3-day adaptation period in the cages, total excreta collection was conducted for 5 consecutive days. Feed consumption during this period was carefully recorded. After documentation of total weight of daily excreta, samples were collected, weighed and dried in a forced-air oven at 65°C for 12 hours. The dried excreta samples were weighed, pooled together on replicate bases and ground before they were sent to the laboratory for chemical analysis (A.O.A.C, 1995). Representative samples of each experimental diet were also analysed using the same procedures. </w:t>
      </w:r>
    </w:p>
    <w:p w14:paraId="170B3320">
      <w:pPr>
        <w:snapToGrid w:val="0"/>
        <w:spacing w:after="0"/>
        <w:jc w:val="both"/>
        <w:rPr>
          <w:rFonts w:ascii="Times New Roman" w:hAnsi="Times New Roman" w:eastAsia="Times New Roman" w:cs="Times New Roman"/>
          <w:color w:val="000000"/>
          <w:sz w:val="20"/>
          <w:szCs w:val="20"/>
        </w:rPr>
      </w:pPr>
    </w:p>
    <w:p w14:paraId="320A60CF">
      <w:pPr>
        <w:snapToGrid w:val="0"/>
        <w:spacing w:after="0"/>
        <w:jc w:val="both"/>
        <w:rPr>
          <w:rFonts w:ascii="Times New Roman" w:hAnsi="Times New Roman" w:cs="Times New Roman"/>
          <w:sz w:val="20"/>
          <w:szCs w:val="20"/>
        </w:rPr>
      </w:pPr>
      <w:r>
        <w:rPr>
          <w:rFonts w:ascii="Times New Roman" w:hAnsi="Times New Roman" w:eastAsia="Times New Roman" w:cs="Times New Roman"/>
          <w:color w:val="000000"/>
          <w:sz w:val="20"/>
          <w:szCs w:val="20"/>
        </w:rPr>
        <w:t>The apparent nutrient digestibility coefficients were calculated using the equation:</w:t>
      </w:r>
    </w:p>
    <w:p w14:paraId="12356AEF">
      <w:pPr>
        <w:snapToGrid w:val="0"/>
        <w:spacing w:after="0"/>
        <w:jc w:val="both"/>
        <w:rPr>
          <w:rFonts w:ascii="Times New Roman" w:hAnsi="Times New Roman" w:eastAsia="Times New Roman" w:cs="Times New Roman"/>
          <w:color w:val="000000"/>
          <w:sz w:val="20"/>
          <w:szCs w:val="20"/>
        </w:rPr>
      </w:pPr>
    </w:p>
    <w:p w14:paraId="1C7E08C8">
      <w:pPr>
        <w:snapToGrid w:val="0"/>
        <w:spacing w:after="0"/>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Apparent Digestibility (%) </w:t>
      </w:r>
    </w:p>
    <w:p w14:paraId="5EB995E5">
      <w:pPr>
        <w:snapToGrid w:val="0"/>
        <w:spacing w:after="0"/>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            % </w:t>
      </w:r>
      <w:r>
        <w:rPr>
          <w:rFonts w:ascii="Times New Roman" w:hAnsi="Times New Roman" w:eastAsia="Times New Roman" w:cs="Times New Roman"/>
          <w:color w:val="000000"/>
          <w:sz w:val="20"/>
          <w:szCs w:val="20"/>
          <w:u w:val="single"/>
        </w:rPr>
        <w:t>Nutrient intake__ - %Nutrient in excreta</w:t>
      </w:r>
      <w:r>
        <w:rPr>
          <w:rFonts w:ascii="Times New Roman" w:hAnsi="Times New Roman" w:eastAsia="Times New Roman" w:cs="Times New Roman"/>
          <w:color w:val="000000"/>
          <w:sz w:val="20"/>
          <w:szCs w:val="20"/>
        </w:rPr>
        <w:t xml:space="preserve">   x 100</w:t>
      </w:r>
    </w:p>
    <w:p w14:paraId="351FB5DE">
      <w:pPr>
        <w:snapToGrid w:val="0"/>
        <w:spacing w:after="0"/>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                       % Nutrient intake</w:t>
      </w:r>
    </w:p>
    <w:p w14:paraId="79ED401E">
      <w:pPr>
        <w:snapToGrid w:val="0"/>
        <w:spacing w:after="0"/>
        <w:jc w:val="both"/>
        <w:rPr>
          <w:rFonts w:ascii="Times New Roman" w:hAnsi="Times New Roman" w:eastAsia="Times New Roman" w:cs="Times New Roman"/>
          <w:color w:val="000000"/>
          <w:sz w:val="20"/>
          <w:szCs w:val="20"/>
        </w:rPr>
      </w:pPr>
    </w:p>
    <w:p w14:paraId="6281BA68">
      <w:pPr>
        <w:snapToGrid w:val="0"/>
        <w:spacing w:after="0"/>
        <w:jc w:val="both"/>
        <w:rPr>
          <w:rFonts w:ascii="Times New Roman" w:hAnsi="Times New Roman" w:cs="Times New Roman"/>
          <w:b/>
          <w:bCs/>
          <w:sz w:val="20"/>
          <w:szCs w:val="20"/>
        </w:rPr>
      </w:pPr>
      <w:r>
        <w:rPr>
          <w:rFonts w:ascii="Times New Roman" w:hAnsi="Times New Roman" w:cs="Times New Roman"/>
          <w:b/>
          <w:bCs/>
          <w:sz w:val="20"/>
          <w:szCs w:val="20"/>
        </w:rPr>
        <w:t>BLOOD COLLECTION AND ANALYSIS</w:t>
      </w:r>
    </w:p>
    <w:p w14:paraId="6EF6DBB5">
      <w:pPr>
        <w:snapToGrid w:val="0"/>
        <w:spacing w:after="0"/>
        <w:jc w:val="both"/>
        <w:rPr>
          <w:rFonts w:ascii="Times New Roman" w:hAnsi="Times New Roman" w:cs="Times New Roman"/>
          <w:sz w:val="20"/>
          <w:szCs w:val="20"/>
        </w:rPr>
      </w:pPr>
      <w:r>
        <w:rPr>
          <w:rFonts w:ascii="Times New Roman" w:hAnsi="Times New Roman" w:cs="Times New Roman"/>
          <w:b/>
          <w:bCs/>
          <w:sz w:val="20"/>
          <w:szCs w:val="20"/>
        </w:rPr>
        <w:t>Haematological Parameters</w:t>
      </w:r>
    </w:p>
    <w:p w14:paraId="03E244B9">
      <w:pPr>
        <w:snapToGrid w:val="0"/>
        <w:spacing w:after="0"/>
        <w:jc w:val="both"/>
        <w:rPr>
          <w:rFonts w:ascii="Times New Roman" w:hAnsi="Times New Roman" w:cs="Times New Roman"/>
          <w:sz w:val="20"/>
          <w:szCs w:val="20"/>
          <w:lang w:val="en-US"/>
        </w:rPr>
      </w:pPr>
      <w:r>
        <w:rPr>
          <w:rFonts w:ascii="Times New Roman" w:hAnsi="Times New Roman" w:cs="Times New Roman"/>
          <w:sz w:val="20"/>
          <w:szCs w:val="20"/>
        </w:rPr>
        <w:t>Four broilers were randomly selected from each treatment-group.</w:t>
      </w:r>
      <w:r>
        <w:rPr>
          <w:rFonts w:ascii="Times New Roman" w:hAnsi="Times New Roman" w:cs="Times New Roman"/>
          <w:sz w:val="20"/>
          <w:szCs w:val="20"/>
          <w:lang w:val="en-US"/>
        </w:rPr>
        <w:t xml:space="preserve">About 2.5 mL of blood were collected from each in tubes containing EDTA anticoagulant by slowly expressing them, after removing the needle from the syringe, to reduce the risk of hemolysis (Haen, 1995) and analyzed to determine blood parameters (haemoglobin concentration, packed cell volume, red blood cells count, total white blood cells count, differential white blood cells count, platelets count) as describe by Iranloye </w:t>
      </w:r>
      <w:r>
        <w:rPr>
          <w:rFonts w:ascii="Times New Roman" w:hAnsi="Times New Roman" w:cs="Times New Roman"/>
          <w:i/>
          <w:iCs/>
          <w:sz w:val="20"/>
          <w:szCs w:val="20"/>
          <w:lang w:val="en-US"/>
        </w:rPr>
        <w:t xml:space="preserve">et al. </w:t>
      </w:r>
      <w:r>
        <w:rPr>
          <w:rFonts w:ascii="Times New Roman" w:hAnsi="Times New Roman" w:cs="Times New Roman"/>
          <w:sz w:val="20"/>
          <w:szCs w:val="20"/>
          <w:lang w:val="en-US"/>
        </w:rPr>
        <w:t xml:space="preserve">(2002) and Venkatesan </w:t>
      </w:r>
      <w:r>
        <w:rPr>
          <w:rFonts w:ascii="Times New Roman" w:hAnsi="Times New Roman" w:cs="Times New Roman"/>
          <w:i/>
          <w:iCs/>
          <w:sz w:val="20"/>
          <w:szCs w:val="20"/>
          <w:lang w:val="en-US"/>
        </w:rPr>
        <w:t xml:space="preserve">et al. </w:t>
      </w:r>
      <w:r>
        <w:rPr>
          <w:rFonts w:ascii="Times New Roman" w:hAnsi="Times New Roman" w:cs="Times New Roman"/>
          <w:sz w:val="20"/>
          <w:szCs w:val="20"/>
          <w:lang w:val="en-US"/>
        </w:rPr>
        <w:t xml:space="preserve">(2006) and total protein as described by Kohn &amp;Allen (1995). Albumin was determined using Bromocresol Green (BCG) method as described by Peter </w:t>
      </w:r>
      <w:r>
        <w:rPr>
          <w:rFonts w:ascii="Times New Roman" w:hAnsi="Times New Roman" w:cs="Times New Roman"/>
          <w:i/>
          <w:iCs/>
          <w:sz w:val="20"/>
          <w:szCs w:val="20"/>
          <w:lang w:val="en-US"/>
        </w:rPr>
        <w:t xml:space="preserve">et al. </w:t>
      </w:r>
      <w:r>
        <w:rPr>
          <w:rFonts w:ascii="Times New Roman" w:hAnsi="Times New Roman" w:cs="Times New Roman"/>
          <w:sz w:val="20"/>
          <w:szCs w:val="20"/>
          <w:lang w:val="en-US"/>
        </w:rPr>
        <w:t>(1982). Aspartate transferase (AST) activities were determined using spectrophotometric methods as described by Rej &amp; Hoder (1983). Alanine transferase (ALT) activities were determined using spectrophotometric methods as described by Rej &amp; Hoder (1983). The globulin concentration was calculated by subtracting albumin from the total protein.</w:t>
      </w:r>
    </w:p>
    <w:p w14:paraId="05CA788D">
      <w:pPr>
        <w:spacing w:after="0"/>
        <w:jc w:val="both"/>
        <w:rPr>
          <w:rFonts w:ascii="Times New Roman" w:hAnsi="Times New Roman" w:cs="Times New Roman"/>
          <w:sz w:val="20"/>
          <w:szCs w:val="20"/>
        </w:rPr>
      </w:pPr>
      <w:r>
        <w:rPr>
          <w:rFonts w:ascii="Times New Roman" w:hAnsi="Times New Roman" w:cs="Times New Roman"/>
          <w:sz w:val="20"/>
          <w:szCs w:val="20"/>
        </w:rPr>
        <w:t>Data collected were analysed using Analysis of Variance as contained in SAS (2002). Significant means were separated using Duncan Multiple Range Test as contained in SAS (2002). Values of P ≤ 0,05were considered significant.</w:t>
      </w:r>
    </w:p>
    <w:p w14:paraId="1EC672D4">
      <w:pPr>
        <w:spacing w:after="0"/>
        <w:jc w:val="both"/>
        <w:rPr>
          <w:rFonts w:ascii="Times New Roman" w:hAnsi="Times New Roman" w:cs="Times New Roman"/>
          <w:b/>
          <w:sz w:val="20"/>
          <w:szCs w:val="20"/>
        </w:rPr>
      </w:pPr>
    </w:p>
    <w:p w14:paraId="1AC8E26B">
      <w:pPr>
        <w:spacing w:after="0"/>
        <w:jc w:val="both"/>
        <w:rPr>
          <w:rFonts w:ascii="Times New Roman" w:hAnsi="Times New Roman" w:cs="Times New Roman"/>
          <w:b/>
          <w:sz w:val="20"/>
          <w:szCs w:val="20"/>
        </w:rPr>
      </w:pPr>
      <w:r>
        <w:rPr>
          <w:rFonts w:ascii="Times New Roman" w:hAnsi="Times New Roman" w:cs="Times New Roman"/>
          <w:b/>
          <w:sz w:val="20"/>
          <w:szCs w:val="20"/>
        </w:rPr>
        <w:t>RESULTS</w:t>
      </w:r>
    </w:p>
    <w:p w14:paraId="4C7884EE">
      <w:pPr>
        <w:spacing w:after="0"/>
        <w:jc w:val="both"/>
        <w:rPr>
          <w:rFonts w:ascii="Times New Roman" w:hAnsi="Times New Roman" w:eastAsia="Times New Roman" w:cs="Times New Roman"/>
          <w:sz w:val="20"/>
          <w:szCs w:val="20"/>
        </w:rPr>
      </w:pPr>
      <w:r>
        <w:rPr>
          <w:rFonts w:ascii="Times New Roman" w:hAnsi="Times New Roman" w:cs="Times New Roman"/>
          <w:sz w:val="20"/>
          <w:szCs w:val="20"/>
        </w:rPr>
        <w:t xml:space="preserve">The result of </w:t>
      </w:r>
      <w:r>
        <w:rPr>
          <w:rFonts w:ascii="Times New Roman" w:hAnsi="Times New Roman" w:cs="Times New Roman"/>
          <w:bCs/>
          <w:sz w:val="20"/>
          <w:szCs w:val="20"/>
        </w:rPr>
        <w:t xml:space="preserve">growth performance of broiler chicken fed with different level of thorn apple fruit, leaf and their blend </w:t>
      </w:r>
      <w:r>
        <w:rPr>
          <w:rFonts w:ascii="Times New Roman" w:hAnsi="Times New Roman" w:cs="Times New Roman"/>
          <w:sz w:val="20"/>
          <w:szCs w:val="20"/>
        </w:rPr>
        <w:t>is presented in Table I. Highest final weight gain and average daily weight gain (3249.16g), (82.00g) were recorded with broiler chicken fed diets containing t</w:t>
      </w:r>
      <w:r>
        <w:rPr>
          <w:rFonts w:ascii="Times New Roman" w:hAnsi="Times New Roman" w:eastAsia="Times New Roman" w:cs="Times New Roman"/>
          <w:sz w:val="20"/>
          <w:szCs w:val="20"/>
        </w:rPr>
        <w:t xml:space="preserve">horn apple fruit and leaf blend (1g of fruit and 1g of leaf per kg of feed), respectively, while lowest values (3207.14g), (73.97g) were recorded with broiler chicken fed diet containing thorn apple fruit (2g of fruit per kg of feed). </w:t>
      </w:r>
      <w:r>
        <w:rPr>
          <w:rFonts w:ascii="Times New Roman" w:hAnsi="Times New Roman" w:cs="Times New Roman"/>
          <w:sz w:val="20"/>
          <w:szCs w:val="20"/>
        </w:rPr>
        <w:t xml:space="preserve">Highest (P ≤ 0.05) total feed intake and daily feed intake (5696.40g), (132.47g) were recorded with broiler chicken fed diets containing </w:t>
      </w:r>
      <w:r>
        <w:rPr>
          <w:rFonts w:ascii="Times New Roman" w:hAnsi="Times New Roman" w:eastAsia="Times New Roman" w:cs="Times New Roman"/>
          <w:sz w:val="20"/>
          <w:szCs w:val="20"/>
        </w:rPr>
        <w:t>thorn apple leaf (2g of leaf per kg of feed) while lowest values (5386.40g), (125.26g) were recorded with broiler chickens fed control diet.</w:t>
      </w:r>
      <w:r>
        <w:rPr>
          <w:rFonts w:ascii="Times New Roman" w:hAnsi="Times New Roman" w:cs="Times New Roman"/>
          <w:sz w:val="20"/>
          <w:szCs w:val="20"/>
          <w:lang w:val="en-US"/>
        </w:rPr>
        <w:t>The highest(P ≤ 0.05) feed conversion ratio value (1.78) was recorded with broilers fed diet T2,</w:t>
      </w:r>
      <w:r>
        <w:rPr>
          <w:rFonts w:ascii="Times New Roman" w:hAnsi="Times New Roman" w:eastAsia="Times New Roman" w:cs="Times New Roman"/>
          <w:sz w:val="20"/>
          <w:szCs w:val="20"/>
        </w:rPr>
        <w:t>thorn apple fruit (2g of fruit per kg of feed)</w:t>
      </w:r>
      <w:r>
        <w:rPr>
          <w:rFonts w:ascii="Times New Roman" w:hAnsi="Times New Roman" w:cs="Times New Roman"/>
          <w:sz w:val="20"/>
          <w:szCs w:val="20"/>
          <w:lang w:val="en-US"/>
        </w:rPr>
        <w:t xml:space="preserve"> while broiler birds fed diet T4 (1.60) had the least.</w:t>
      </w:r>
    </w:p>
    <w:p w14:paraId="76C452F7">
      <w:pPr>
        <w:spacing w:after="0"/>
        <w:jc w:val="both"/>
        <w:rPr>
          <w:rFonts w:ascii="Times New Roman" w:hAnsi="Times New Roman" w:cs="Times New Roman"/>
          <w:sz w:val="20"/>
          <w:szCs w:val="20"/>
        </w:rPr>
      </w:pPr>
    </w:p>
    <w:tbl>
      <w:tblPr>
        <w:tblStyle w:val="4"/>
        <w:tblW w:w="580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4"/>
        <w:gridCol w:w="932"/>
        <w:gridCol w:w="872"/>
        <w:gridCol w:w="800"/>
        <w:gridCol w:w="1102"/>
        <w:gridCol w:w="638"/>
      </w:tblGrid>
      <w:tr w14:paraId="217BBB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5808" w:type="dxa"/>
            <w:gridSpan w:val="6"/>
            <w:tcBorders>
              <w:top w:val="nil"/>
              <w:bottom w:val="single" w:color="auto" w:sz="4" w:space="0"/>
            </w:tcBorders>
          </w:tcPr>
          <w:p w14:paraId="76F4B7A1">
            <w:pPr>
              <w:spacing w:after="0"/>
              <w:jc w:val="both"/>
              <w:rPr>
                <w:rFonts w:ascii="Times New Roman" w:hAnsi="Times New Roman" w:cs="Times New Roman"/>
                <w:sz w:val="18"/>
                <w:szCs w:val="18"/>
              </w:rPr>
            </w:pPr>
            <w:r>
              <w:rPr>
                <w:rFonts w:ascii="Times New Roman" w:hAnsi="Times New Roman" w:cs="Times New Roman"/>
                <w:b/>
                <w:sz w:val="18"/>
                <w:szCs w:val="18"/>
              </w:rPr>
              <w:t xml:space="preserve">TABLE I: GROWTH PERFORMANCE-INDICES OF BROILER CHICKENS FED DIFFERENT LEVELS OF THORN APPLE FRUIT, LEAF AND THEIR BLEND </w:t>
            </w:r>
          </w:p>
        </w:tc>
      </w:tr>
      <w:tr w14:paraId="7F2C07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1464" w:type="dxa"/>
            <w:tcBorders>
              <w:top w:val="single" w:color="auto" w:sz="4" w:space="0"/>
              <w:bottom w:val="single" w:color="auto" w:sz="4" w:space="0"/>
            </w:tcBorders>
          </w:tcPr>
          <w:p w14:paraId="72D25A83">
            <w:pPr>
              <w:spacing w:after="0"/>
              <w:rPr>
                <w:rFonts w:ascii="Times New Roman" w:hAnsi="Times New Roman" w:eastAsia="SimSun" w:cs="Times New Roman"/>
                <w:b/>
                <w:sz w:val="18"/>
                <w:szCs w:val="18"/>
              </w:rPr>
            </w:pPr>
            <w:r>
              <w:rPr>
                <w:rFonts w:ascii="Times New Roman" w:hAnsi="Times New Roman" w:eastAsia="SimSun" w:cs="Times New Roman"/>
                <w:b/>
                <w:sz w:val="18"/>
                <w:szCs w:val="18"/>
              </w:rPr>
              <w:t>Parameters</w:t>
            </w:r>
          </w:p>
        </w:tc>
        <w:tc>
          <w:tcPr>
            <w:tcW w:w="932" w:type="dxa"/>
            <w:tcBorders>
              <w:top w:val="single" w:color="auto" w:sz="4" w:space="0"/>
              <w:bottom w:val="single" w:color="auto" w:sz="4" w:space="0"/>
            </w:tcBorders>
          </w:tcPr>
          <w:p w14:paraId="0A748619">
            <w:pPr>
              <w:spacing w:after="0"/>
              <w:jc w:val="center"/>
              <w:rPr>
                <w:rFonts w:ascii="Times New Roman" w:hAnsi="Times New Roman" w:eastAsia="SimSun" w:cs="Times New Roman"/>
                <w:b/>
                <w:sz w:val="18"/>
                <w:szCs w:val="18"/>
              </w:rPr>
            </w:pPr>
            <w:r>
              <w:rPr>
                <w:rFonts w:ascii="Times New Roman" w:hAnsi="Times New Roman" w:eastAsia="SimSun" w:cs="Times New Roman"/>
                <w:b/>
                <w:sz w:val="18"/>
                <w:szCs w:val="18"/>
              </w:rPr>
              <w:t>Control</w:t>
            </w:r>
          </w:p>
        </w:tc>
        <w:tc>
          <w:tcPr>
            <w:tcW w:w="872" w:type="dxa"/>
            <w:tcBorders>
              <w:top w:val="single" w:color="auto" w:sz="4" w:space="0"/>
              <w:bottom w:val="single" w:color="auto" w:sz="4" w:space="0"/>
            </w:tcBorders>
          </w:tcPr>
          <w:p w14:paraId="1A436D78">
            <w:pPr>
              <w:spacing w:after="0"/>
              <w:jc w:val="center"/>
              <w:rPr>
                <w:rFonts w:ascii="Times New Roman" w:hAnsi="Times New Roman" w:eastAsia="SimSun" w:cs="Times New Roman"/>
                <w:b/>
                <w:sz w:val="18"/>
                <w:szCs w:val="18"/>
              </w:rPr>
            </w:pPr>
            <w:r>
              <w:rPr>
                <w:rFonts w:ascii="Times New Roman" w:hAnsi="Times New Roman" w:eastAsia="SimSun" w:cs="Times New Roman"/>
                <w:b/>
                <w:sz w:val="18"/>
                <w:szCs w:val="18"/>
              </w:rPr>
              <w:t>Fruit</w:t>
            </w:r>
          </w:p>
        </w:tc>
        <w:tc>
          <w:tcPr>
            <w:tcW w:w="800" w:type="dxa"/>
            <w:tcBorders>
              <w:top w:val="single" w:color="auto" w:sz="4" w:space="0"/>
              <w:bottom w:val="single" w:color="auto" w:sz="4" w:space="0"/>
            </w:tcBorders>
          </w:tcPr>
          <w:p w14:paraId="0E02CCF7">
            <w:pPr>
              <w:spacing w:after="0"/>
              <w:jc w:val="center"/>
              <w:rPr>
                <w:rFonts w:ascii="Times New Roman" w:hAnsi="Times New Roman" w:eastAsia="SimSun" w:cs="Times New Roman"/>
                <w:b/>
                <w:sz w:val="18"/>
                <w:szCs w:val="18"/>
              </w:rPr>
            </w:pPr>
            <w:r>
              <w:rPr>
                <w:rFonts w:ascii="Times New Roman" w:hAnsi="Times New Roman" w:eastAsia="SimSun" w:cs="Times New Roman"/>
                <w:b/>
                <w:sz w:val="18"/>
                <w:szCs w:val="18"/>
              </w:rPr>
              <w:t>Leaf</w:t>
            </w:r>
          </w:p>
        </w:tc>
        <w:tc>
          <w:tcPr>
            <w:tcW w:w="1102" w:type="dxa"/>
            <w:tcBorders>
              <w:top w:val="single" w:color="auto" w:sz="4" w:space="0"/>
              <w:bottom w:val="single" w:color="auto" w:sz="4" w:space="0"/>
            </w:tcBorders>
          </w:tcPr>
          <w:p w14:paraId="2F463FD4">
            <w:pPr>
              <w:spacing w:after="0"/>
              <w:rPr>
                <w:rFonts w:ascii="Times New Roman" w:hAnsi="Times New Roman" w:eastAsia="SimSun" w:cs="Times New Roman"/>
                <w:b/>
                <w:sz w:val="18"/>
                <w:szCs w:val="18"/>
              </w:rPr>
            </w:pPr>
            <w:r>
              <w:rPr>
                <w:rFonts w:ascii="Times New Roman" w:hAnsi="Times New Roman" w:eastAsia="SimSun" w:cs="Times New Roman"/>
                <w:b/>
                <w:sz w:val="18"/>
                <w:szCs w:val="18"/>
              </w:rPr>
              <w:t>Leaf+Fruit</w:t>
            </w:r>
          </w:p>
        </w:tc>
        <w:tc>
          <w:tcPr>
            <w:tcW w:w="638" w:type="dxa"/>
            <w:tcBorders>
              <w:top w:val="single" w:color="auto" w:sz="4" w:space="0"/>
              <w:bottom w:val="single" w:color="auto" w:sz="4" w:space="0"/>
            </w:tcBorders>
          </w:tcPr>
          <w:p w14:paraId="52099E7B">
            <w:pPr>
              <w:spacing w:after="0"/>
              <w:jc w:val="center"/>
              <w:rPr>
                <w:rFonts w:ascii="Times New Roman" w:hAnsi="Times New Roman" w:eastAsia="SimSun" w:cs="Times New Roman"/>
                <w:b/>
                <w:sz w:val="18"/>
                <w:szCs w:val="18"/>
              </w:rPr>
            </w:pPr>
            <w:r>
              <w:rPr>
                <w:rFonts w:ascii="Times New Roman" w:hAnsi="Times New Roman" w:eastAsia="SimSun" w:cs="Times New Roman"/>
                <w:b/>
                <w:sz w:val="18"/>
                <w:szCs w:val="18"/>
              </w:rPr>
              <w:t>SEM</w:t>
            </w:r>
          </w:p>
        </w:tc>
      </w:tr>
      <w:tr w14:paraId="306FB1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464" w:type="dxa"/>
          </w:tcPr>
          <w:p w14:paraId="117DBFB4">
            <w:pPr>
              <w:spacing w:after="0"/>
              <w:rPr>
                <w:rFonts w:ascii="Times New Roman" w:hAnsi="Times New Roman" w:cs="Times New Roman"/>
                <w:bCs/>
                <w:sz w:val="18"/>
                <w:szCs w:val="18"/>
              </w:rPr>
            </w:pPr>
            <w:r>
              <w:rPr>
                <w:rFonts w:ascii="Times New Roman" w:hAnsi="Times New Roman" w:cs="Times New Roman"/>
                <w:bCs/>
                <w:sz w:val="18"/>
                <w:szCs w:val="18"/>
              </w:rPr>
              <w:t>Weight gain (g)</w:t>
            </w:r>
          </w:p>
        </w:tc>
        <w:tc>
          <w:tcPr>
            <w:tcW w:w="932" w:type="dxa"/>
          </w:tcPr>
          <w:p w14:paraId="5FDA9411">
            <w:pPr>
              <w:spacing w:after="0"/>
              <w:jc w:val="center"/>
              <w:rPr>
                <w:rFonts w:ascii="Times New Roman" w:hAnsi="Times New Roman" w:cs="Times New Roman"/>
                <w:sz w:val="18"/>
                <w:szCs w:val="18"/>
              </w:rPr>
            </w:pPr>
            <w:r>
              <w:rPr>
                <w:rFonts w:ascii="Times New Roman" w:hAnsi="Times New Roman" w:cs="Times New Roman"/>
                <w:sz w:val="18"/>
                <w:szCs w:val="18"/>
              </w:rPr>
              <w:t>3227.01</w:t>
            </w:r>
            <w:r>
              <w:rPr>
                <w:rFonts w:ascii="Times New Roman" w:hAnsi="Times New Roman" w:cs="Times New Roman"/>
                <w:sz w:val="18"/>
                <w:szCs w:val="18"/>
                <w:vertAlign w:val="superscript"/>
              </w:rPr>
              <w:t>bc</w:t>
            </w:r>
          </w:p>
        </w:tc>
        <w:tc>
          <w:tcPr>
            <w:tcW w:w="872" w:type="dxa"/>
          </w:tcPr>
          <w:p w14:paraId="571B94BF">
            <w:pPr>
              <w:spacing w:after="0"/>
              <w:jc w:val="center"/>
              <w:rPr>
                <w:rFonts w:ascii="Times New Roman" w:hAnsi="Times New Roman" w:cs="Times New Roman"/>
                <w:b/>
                <w:sz w:val="18"/>
                <w:szCs w:val="18"/>
              </w:rPr>
            </w:pPr>
            <w:r>
              <w:rPr>
                <w:rFonts w:ascii="Times New Roman" w:hAnsi="Times New Roman" w:cs="Times New Roman"/>
                <w:sz w:val="18"/>
                <w:szCs w:val="18"/>
              </w:rPr>
              <w:t>3207.14</w:t>
            </w:r>
            <w:r>
              <w:rPr>
                <w:rFonts w:ascii="Times New Roman" w:hAnsi="Times New Roman" w:cs="Times New Roman"/>
                <w:sz w:val="18"/>
                <w:szCs w:val="18"/>
                <w:vertAlign w:val="superscript"/>
              </w:rPr>
              <w:t>c</w:t>
            </w:r>
          </w:p>
        </w:tc>
        <w:tc>
          <w:tcPr>
            <w:tcW w:w="800" w:type="dxa"/>
          </w:tcPr>
          <w:p w14:paraId="7D027659">
            <w:pPr>
              <w:spacing w:after="0"/>
              <w:jc w:val="center"/>
              <w:rPr>
                <w:rFonts w:ascii="Times New Roman" w:hAnsi="Times New Roman" w:cs="Times New Roman"/>
                <w:b/>
                <w:sz w:val="18"/>
                <w:szCs w:val="18"/>
              </w:rPr>
            </w:pPr>
            <w:r>
              <w:rPr>
                <w:rFonts w:ascii="Times New Roman" w:hAnsi="Times New Roman" w:cs="Times New Roman"/>
                <w:sz w:val="18"/>
                <w:szCs w:val="18"/>
              </w:rPr>
              <w:t>3239.03</w:t>
            </w:r>
            <w:r>
              <w:rPr>
                <w:rFonts w:ascii="Times New Roman" w:hAnsi="Times New Roman" w:cs="Times New Roman"/>
                <w:sz w:val="18"/>
                <w:szCs w:val="18"/>
                <w:vertAlign w:val="superscript"/>
              </w:rPr>
              <w:t>b</w:t>
            </w:r>
          </w:p>
        </w:tc>
        <w:tc>
          <w:tcPr>
            <w:tcW w:w="1102" w:type="dxa"/>
          </w:tcPr>
          <w:p w14:paraId="35EDEC05">
            <w:pPr>
              <w:spacing w:after="0"/>
              <w:jc w:val="center"/>
              <w:rPr>
                <w:rFonts w:ascii="Times New Roman" w:hAnsi="Times New Roman" w:cs="Times New Roman"/>
                <w:b/>
                <w:sz w:val="18"/>
                <w:szCs w:val="18"/>
              </w:rPr>
            </w:pPr>
            <w:r>
              <w:rPr>
                <w:rFonts w:ascii="Times New Roman" w:hAnsi="Times New Roman" w:cs="Times New Roman"/>
                <w:sz w:val="18"/>
                <w:szCs w:val="18"/>
              </w:rPr>
              <w:t>3249.16</w:t>
            </w:r>
            <w:r>
              <w:rPr>
                <w:rFonts w:ascii="Times New Roman" w:hAnsi="Times New Roman" w:cs="Times New Roman"/>
                <w:sz w:val="18"/>
                <w:szCs w:val="18"/>
                <w:vertAlign w:val="superscript"/>
              </w:rPr>
              <w:t>a</w:t>
            </w:r>
          </w:p>
        </w:tc>
        <w:tc>
          <w:tcPr>
            <w:tcW w:w="638" w:type="dxa"/>
          </w:tcPr>
          <w:p w14:paraId="0D869DF3">
            <w:pPr>
              <w:pStyle w:val="14"/>
              <w:spacing w:line="276" w:lineRule="auto"/>
              <w:jc w:val="center"/>
              <w:rPr>
                <w:sz w:val="18"/>
                <w:szCs w:val="18"/>
              </w:rPr>
            </w:pPr>
            <w:r>
              <w:rPr>
                <w:sz w:val="18"/>
                <w:szCs w:val="18"/>
              </w:rPr>
              <w:t>40.50</w:t>
            </w:r>
          </w:p>
        </w:tc>
      </w:tr>
      <w:tr w14:paraId="61FEC4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464" w:type="dxa"/>
          </w:tcPr>
          <w:p w14:paraId="1721C10C">
            <w:pPr>
              <w:spacing w:after="0"/>
              <w:rPr>
                <w:rFonts w:ascii="Times New Roman" w:hAnsi="Times New Roman" w:cs="Times New Roman"/>
                <w:bCs/>
                <w:sz w:val="18"/>
                <w:szCs w:val="18"/>
              </w:rPr>
            </w:pPr>
            <w:r>
              <w:rPr>
                <w:rFonts w:ascii="Times New Roman" w:hAnsi="Times New Roman" w:cs="Times New Roman"/>
                <w:bCs/>
                <w:sz w:val="18"/>
                <w:szCs w:val="18"/>
              </w:rPr>
              <w:t>ADWG</w:t>
            </w:r>
          </w:p>
        </w:tc>
        <w:tc>
          <w:tcPr>
            <w:tcW w:w="932" w:type="dxa"/>
          </w:tcPr>
          <w:p w14:paraId="4B7675FD">
            <w:pPr>
              <w:spacing w:after="0"/>
              <w:jc w:val="center"/>
              <w:rPr>
                <w:rFonts w:ascii="Times New Roman" w:hAnsi="Times New Roman" w:cs="Times New Roman"/>
                <w:sz w:val="18"/>
                <w:szCs w:val="18"/>
              </w:rPr>
            </w:pPr>
            <w:r>
              <w:rPr>
                <w:rFonts w:ascii="Times New Roman" w:hAnsi="Times New Roman" w:cs="Times New Roman"/>
                <w:sz w:val="18"/>
                <w:szCs w:val="18"/>
              </w:rPr>
              <w:t>74.06</w:t>
            </w:r>
            <w:r>
              <w:rPr>
                <w:rFonts w:ascii="Times New Roman" w:hAnsi="Times New Roman" w:cs="Times New Roman"/>
                <w:sz w:val="18"/>
                <w:szCs w:val="18"/>
                <w:vertAlign w:val="superscript"/>
              </w:rPr>
              <w:t>bc</w:t>
            </w:r>
          </w:p>
        </w:tc>
        <w:tc>
          <w:tcPr>
            <w:tcW w:w="872" w:type="dxa"/>
          </w:tcPr>
          <w:p w14:paraId="783AA49C">
            <w:pPr>
              <w:spacing w:after="0"/>
              <w:jc w:val="center"/>
              <w:rPr>
                <w:rFonts w:ascii="Times New Roman" w:hAnsi="Times New Roman" w:cs="Times New Roman"/>
                <w:b/>
                <w:sz w:val="18"/>
                <w:szCs w:val="18"/>
              </w:rPr>
            </w:pPr>
            <w:r>
              <w:rPr>
                <w:rFonts w:ascii="Times New Roman" w:hAnsi="Times New Roman" w:cs="Times New Roman"/>
                <w:sz w:val="18"/>
                <w:szCs w:val="18"/>
              </w:rPr>
              <w:t>73.97</w:t>
            </w:r>
            <w:r>
              <w:rPr>
                <w:rFonts w:ascii="Times New Roman" w:hAnsi="Times New Roman" w:cs="Times New Roman"/>
                <w:sz w:val="18"/>
                <w:szCs w:val="18"/>
                <w:vertAlign w:val="superscript"/>
              </w:rPr>
              <w:t>c</w:t>
            </w:r>
          </w:p>
        </w:tc>
        <w:tc>
          <w:tcPr>
            <w:tcW w:w="800" w:type="dxa"/>
          </w:tcPr>
          <w:p w14:paraId="02176F8C">
            <w:pPr>
              <w:spacing w:after="0"/>
              <w:jc w:val="center"/>
              <w:rPr>
                <w:rFonts w:ascii="Times New Roman" w:hAnsi="Times New Roman" w:cs="Times New Roman"/>
                <w:b/>
                <w:sz w:val="18"/>
                <w:szCs w:val="18"/>
              </w:rPr>
            </w:pPr>
            <w:r>
              <w:rPr>
                <w:rFonts w:ascii="Times New Roman" w:hAnsi="Times New Roman" w:cs="Times New Roman"/>
                <w:sz w:val="18"/>
                <w:szCs w:val="18"/>
              </w:rPr>
              <w:t>77.35</w:t>
            </w:r>
            <w:r>
              <w:rPr>
                <w:rFonts w:ascii="Times New Roman" w:hAnsi="Times New Roman" w:cs="Times New Roman"/>
                <w:sz w:val="18"/>
                <w:szCs w:val="18"/>
                <w:vertAlign w:val="superscript"/>
              </w:rPr>
              <w:t>b</w:t>
            </w:r>
          </w:p>
        </w:tc>
        <w:tc>
          <w:tcPr>
            <w:tcW w:w="1102" w:type="dxa"/>
          </w:tcPr>
          <w:p w14:paraId="7381BFD4">
            <w:pPr>
              <w:spacing w:after="0"/>
              <w:jc w:val="center"/>
              <w:rPr>
                <w:rFonts w:ascii="Times New Roman" w:hAnsi="Times New Roman" w:cs="Times New Roman"/>
                <w:b/>
                <w:sz w:val="18"/>
                <w:szCs w:val="18"/>
              </w:rPr>
            </w:pPr>
            <w:r>
              <w:rPr>
                <w:rFonts w:ascii="Times New Roman" w:hAnsi="Times New Roman" w:cs="Times New Roman"/>
                <w:sz w:val="18"/>
                <w:szCs w:val="18"/>
              </w:rPr>
              <w:t>82.00</w:t>
            </w:r>
            <w:r>
              <w:rPr>
                <w:rFonts w:ascii="Times New Roman" w:hAnsi="Times New Roman" w:cs="Times New Roman"/>
                <w:sz w:val="18"/>
                <w:szCs w:val="18"/>
                <w:vertAlign w:val="superscript"/>
              </w:rPr>
              <w:t>a</w:t>
            </w:r>
          </w:p>
        </w:tc>
        <w:tc>
          <w:tcPr>
            <w:tcW w:w="638" w:type="dxa"/>
          </w:tcPr>
          <w:p w14:paraId="16AFDBDF">
            <w:pPr>
              <w:pStyle w:val="14"/>
              <w:spacing w:line="276" w:lineRule="auto"/>
              <w:jc w:val="center"/>
              <w:rPr>
                <w:sz w:val="18"/>
                <w:szCs w:val="18"/>
              </w:rPr>
            </w:pPr>
            <w:r>
              <w:rPr>
                <w:sz w:val="18"/>
                <w:szCs w:val="18"/>
              </w:rPr>
              <w:t>0.96</w:t>
            </w:r>
          </w:p>
        </w:tc>
      </w:tr>
      <w:tr w14:paraId="182A5B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464" w:type="dxa"/>
          </w:tcPr>
          <w:p w14:paraId="7E02FA62">
            <w:pPr>
              <w:spacing w:after="0"/>
              <w:rPr>
                <w:rFonts w:ascii="Times New Roman" w:hAnsi="Times New Roman" w:cs="Times New Roman"/>
                <w:bCs/>
                <w:sz w:val="18"/>
                <w:szCs w:val="18"/>
              </w:rPr>
            </w:pPr>
            <w:r>
              <w:rPr>
                <w:rFonts w:ascii="Times New Roman" w:hAnsi="Times New Roman" w:cs="Times New Roman"/>
                <w:bCs/>
                <w:sz w:val="18"/>
                <w:szCs w:val="18"/>
              </w:rPr>
              <w:t>Total feed intake</w:t>
            </w:r>
          </w:p>
        </w:tc>
        <w:tc>
          <w:tcPr>
            <w:tcW w:w="932" w:type="dxa"/>
          </w:tcPr>
          <w:p w14:paraId="285FA7DE">
            <w:pPr>
              <w:spacing w:after="0"/>
              <w:jc w:val="center"/>
              <w:rPr>
                <w:rFonts w:ascii="Times New Roman" w:hAnsi="Times New Roman" w:cs="Times New Roman"/>
                <w:sz w:val="18"/>
                <w:szCs w:val="18"/>
              </w:rPr>
            </w:pPr>
            <w:r>
              <w:rPr>
                <w:rFonts w:ascii="Times New Roman" w:hAnsi="Times New Roman" w:cs="Times New Roman"/>
                <w:sz w:val="18"/>
                <w:szCs w:val="18"/>
              </w:rPr>
              <w:t>5386.40</w:t>
            </w:r>
            <w:r>
              <w:rPr>
                <w:rFonts w:ascii="Times New Roman" w:hAnsi="Times New Roman" w:cs="Times New Roman"/>
                <w:sz w:val="18"/>
                <w:szCs w:val="18"/>
                <w:vertAlign w:val="superscript"/>
              </w:rPr>
              <w:t>b</w:t>
            </w:r>
          </w:p>
        </w:tc>
        <w:tc>
          <w:tcPr>
            <w:tcW w:w="872" w:type="dxa"/>
          </w:tcPr>
          <w:p w14:paraId="2D0CF528">
            <w:pPr>
              <w:spacing w:after="0"/>
              <w:jc w:val="center"/>
              <w:rPr>
                <w:rFonts w:ascii="Times New Roman" w:hAnsi="Times New Roman" w:cs="Times New Roman"/>
                <w:sz w:val="18"/>
                <w:szCs w:val="18"/>
              </w:rPr>
            </w:pPr>
            <w:r>
              <w:rPr>
                <w:rFonts w:ascii="Times New Roman" w:hAnsi="Times New Roman" w:cs="Times New Roman"/>
                <w:sz w:val="18"/>
                <w:szCs w:val="18"/>
              </w:rPr>
              <w:t>5537.10</w:t>
            </w:r>
            <w:r>
              <w:rPr>
                <w:rFonts w:ascii="Times New Roman" w:hAnsi="Times New Roman" w:cs="Times New Roman"/>
                <w:sz w:val="18"/>
                <w:szCs w:val="18"/>
                <w:vertAlign w:val="superscript"/>
              </w:rPr>
              <w:t>a</w:t>
            </w:r>
          </w:p>
        </w:tc>
        <w:tc>
          <w:tcPr>
            <w:tcW w:w="800" w:type="dxa"/>
          </w:tcPr>
          <w:p w14:paraId="6B2EF618">
            <w:pPr>
              <w:spacing w:after="0"/>
              <w:jc w:val="center"/>
              <w:rPr>
                <w:rFonts w:ascii="Times New Roman" w:hAnsi="Times New Roman" w:cs="Times New Roman"/>
                <w:sz w:val="18"/>
                <w:szCs w:val="18"/>
              </w:rPr>
            </w:pPr>
            <w:r>
              <w:rPr>
                <w:rFonts w:ascii="Times New Roman" w:hAnsi="Times New Roman" w:cs="Times New Roman"/>
                <w:sz w:val="18"/>
                <w:szCs w:val="18"/>
              </w:rPr>
              <w:t>5696.40</w:t>
            </w:r>
            <w:r>
              <w:rPr>
                <w:rFonts w:ascii="Times New Roman" w:hAnsi="Times New Roman" w:cs="Times New Roman"/>
                <w:sz w:val="18"/>
                <w:szCs w:val="18"/>
                <w:vertAlign w:val="superscript"/>
              </w:rPr>
              <w:t>a</w:t>
            </w:r>
          </w:p>
        </w:tc>
        <w:tc>
          <w:tcPr>
            <w:tcW w:w="1102" w:type="dxa"/>
          </w:tcPr>
          <w:p w14:paraId="3F84FF7F">
            <w:pPr>
              <w:spacing w:after="0"/>
              <w:jc w:val="center"/>
              <w:rPr>
                <w:rFonts w:ascii="Times New Roman" w:hAnsi="Times New Roman" w:cs="Times New Roman"/>
                <w:sz w:val="18"/>
                <w:szCs w:val="18"/>
              </w:rPr>
            </w:pPr>
            <w:r>
              <w:rPr>
                <w:rFonts w:ascii="Times New Roman" w:hAnsi="Times New Roman" w:cs="Times New Roman"/>
                <w:sz w:val="18"/>
                <w:szCs w:val="18"/>
              </w:rPr>
              <w:t>5507.35</w:t>
            </w:r>
            <w:r>
              <w:rPr>
                <w:rFonts w:ascii="Times New Roman" w:hAnsi="Times New Roman" w:cs="Times New Roman"/>
                <w:sz w:val="18"/>
                <w:szCs w:val="18"/>
                <w:vertAlign w:val="superscript"/>
              </w:rPr>
              <w:t>a</w:t>
            </w:r>
          </w:p>
        </w:tc>
        <w:tc>
          <w:tcPr>
            <w:tcW w:w="638" w:type="dxa"/>
          </w:tcPr>
          <w:p w14:paraId="08601183">
            <w:pPr>
              <w:pStyle w:val="14"/>
              <w:spacing w:line="276" w:lineRule="auto"/>
              <w:jc w:val="center"/>
              <w:rPr>
                <w:sz w:val="18"/>
                <w:szCs w:val="18"/>
              </w:rPr>
            </w:pPr>
            <w:r>
              <w:rPr>
                <w:sz w:val="18"/>
                <w:szCs w:val="18"/>
              </w:rPr>
              <w:t>43.78</w:t>
            </w:r>
          </w:p>
        </w:tc>
      </w:tr>
      <w:tr w14:paraId="316091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1464" w:type="dxa"/>
          </w:tcPr>
          <w:p w14:paraId="23F8A7BB">
            <w:pPr>
              <w:spacing w:after="0"/>
              <w:rPr>
                <w:rFonts w:ascii="Times New Roman" w:hAnsi="Times New Roman" w:cs="Times New Roman"/>
                <w:bCs/>
                <w:sz w:val="18"/>
                <w:szCs w:val="18"/>
              </w:rPr>
            </w:pPr>
            <w:r>
              <w:rPr>
                <w:rFonts w:ascii="Times New Roman" w:hAnsi="Times New Roman" w:cs="Times New Roman"/>
                <w:bCs/>
                <w:sz w:val="18"/>
                <w:szCs w:val="18"/>
              </w:rPr>
              <w:t>Daily feed intake</w:t>
            </w:r>
          </w:p>
        </w:tc>
        <w:tc>
          <w:tcPr>
            <w:tcW w:w="932" w:type="dxa"/>
          </w:tcPr>
          <w:p w14:paraId="681471F6">
            <w:pPr>
              <w:spacing w:after="0"/>
              <w:jc w:val="center"/>
              <w:rPr>
                <w:rFonts w:ascii="Times New Roman" w:hAnsi="Times New Roman" w:cs="Times New Roman"/>
                <w:sz w:val="18"/>
                <w:szCs w:val="18"/>
              </w:rPr>
            </w:pPr>
            <w:r>
              <w:rPr>
                <w:rFonts w:ascii="Times New Roman" w:hAnsi="Times New Roman" w:cs="Times New Roman"/>
                <w:sz w:val="18"/>
                <w:szCs w:val="18"/>
              </w:rPr>
              <w:t>125.26</w:t>
            </w:r>
            <w:r>
              <w:rPr>
                <w:rFonts w:ascii="Times New Roman" w:hAnsi="Times New Roman" w:cs="Times New Roman"/>
                <w:sz w:val="18"/>
                <w:szCs w:val="18"/>
                <w:vertAlign w:val="superscript"/>
              </w:rPr>
              <w:t>c</w:t>
            </w:r>
          </w:p>
        </w:tc>
        <w:tc>
          <w:tcPr>
            <w:tcW w:w="872" w:type="dxa"/>
          </w:tcPr>
          <w:p w14:paraId="53405E67">
            <w:pPr>
              <w:spacing w:after="0"/>
              <w:jc w:val="center"/>
              <w:rPr>
                <w:rFonts w:ascii="Times New Roman" w:hAnsi="Times New Roman" w:cs="Times New Roman"/>
                <w:b/>
                <w:sz w:val="18"/>
                <w:szCs w:val="18"/>
              </w:rPr>
            </w:pPr>
            <w:r>
              <w:rPr>
                <w:rFonts w:ascii="Times New Roman" w:hAnsi="Times New Roman" w:cs="Times New Roman"/>
                <w:sz w:val="18"/>
                <w:szCs w:val="18"/>
              </w:rPr>
              <w:t>128.76</w:t>
            </w:r>
            <w:r>
              <w:rPr>
                <w:rFonts w:ascii="Times New Roman" w:hAnsi="Times New Roman" w:cs="Times New Roman"/>
                <w:sz w:val="18"/>
                <w:szCs w:val="18"/>
                <w:vertAlign w:val="superscript"/>
              </w:rPr>
              <w:t>b</w:t>
            </w:r>
          </w:p>
        </w:tc>
        <w:tc>
          <w:tcPr>
            <w:tcW w:w="800" w:type="dxa"/>
          </w:tcPr>
          <w:p w14:paraId="4E368E3B">
            <w:pPr>
              <w:spacing w:after="0"/>
              <w:jc w:val="center"/>
              <w:rPr>
                <w:rFonts w:ascii="Times New Roman" w:hAnsi="Times New Roman" w:cs="Times New Roman"/>
                <w:b/>
                <w:sz w:val="18"/>
                <w:szCs w:val="18"/>
              </w:rPr>
            </w:pPr>
            <w:r>
              <w:rPr>
                <w:rFonts w:ascii="Times New Roman" w:hAnsi="Times New Roman" w:cs="Times New Roman"/>
                <w:sz w:val="18"/>
                <w:szCs w:val="18"/>
              </w:rPr>
              <w:t>132.47</w:t>
            </w:r>
            <w:r>
              <w:rPr>
                <w:rFonts w:ascii="Times New Roman" w:hAnsi="Times New Roman" w:cs="Times New Roman"/>
                <w:sz w:val="18"/>
                <w:szCs w:val="18"/>
                <w:vertAlign w:val="superscript"/>
              </w:rPr>
              <w:t>a</w:t>
            </w:r>
          </w:p>
        </w:tc>
        <w:tc>
          <w:tcPr>
            <w:tcW w:w="1102" w:type="dxa"/>
          </w:tcPr>
          <w:p w14:paraId="44307A5F">
            <w:pPr>
              <w:spacing w:after="0"/>
              <w:jc w:val="center"/>
              <w:rPr>
                <w:rFonts w:ascii="Times New Roman" w:hAnsi="Times New Roman" w:cs="Times New Roman"/>
                <w:b/>
                <w:sz w:val="18"/>
                <w:szCs w:val="18"/>
              </w:rPr>
            </w:pPr>
            <w:r>
              <w:rPr>
                <w:rFonts w:ascii="Times New Roman" w:hAnsi="Times New Roman" w:cs="Times New Roman"/>
                <w:sz w:val="18"/>
                <w:szCs w:val="18"/>
              </w:rPr>
              <w:t>128.07</w:t>
            </w:r>
            <w:r>
              <w:rPr>
                <w:rFonts w:ascii="Times New Roman" w:hAnsi="Times New Roman" w:cs="Times New Roman"/>
                <w:sz w:val="18"/>
                <w:szCs w:val="18"/>
                <w:vertAlign w:val="superscript"/>
              </w:rPr>
              <w:t>b</w:t>
            </w:r>
          </w:p>
        </w:tc>
        <w:tc>
          <w:tcPr>
            <w:tcW w:w="638" w:type="dxa"/>
          </w:tcPr>
          <w:p w14:paraId="199F073A">
            <w:pPr>
              <w:pStyle w:val="14"/>
              <w:spacing w:line="276" w:lineRule="auto"/>
              <w:jc w:val="center"/>
              <w:rPr>
                <w:sz w:val="18"/>
                <w:szCs w:val="18"/>
              </w:rPr>
            </w:pPr>
            <w:r>
              <w:rPr>
                <w:sz w:val="18"/>
                <w:szCs w:val="18"/>
              </w:rPr>
              <w:t>1.01</w:t>
            </w:r>
          </w:p>
        </w:tc>
      </w:tr>
      <w:tr w14:paraId="7DC850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464" w:type="dxa"/>
            <w:tcBorders>
              <w:bottom w:val="single" w:color="auto" w:sz="4" w:space="0"/>
            </w:tcBorders>
          </w:tcPr>
          <w:p w14:paraId="13408D9F">
            <w:pPr>
              <w:spacing w:after="0"/>
              <w:rPr>
                <w:rFonts w:ascii="Times New Roman" w:hAnsi="Times New Roman" w:cs="Times New Roman"/>
                <w:bCs/>
                <w:sz w:val="18"/>
                <w:szCs w:val="18"/>
              </w:rPr>
            </w:pPr>
            <w:r>
              <w:rPr>
                <w:rFonts w:ascii="Times New Roman" w:hAnsi="Times New Roman" w:cs="Times New Roman"/>
                <w:bCs/>
                <w:sz w:val="18"/>
                <w:szCs w:val="18"/>
              </w:rPr>
              <w:t>Feed conversion ratio</w:t>
            </w:r>
          </w:p>
        </w:tc>
        <w:tc>
          <w:tcPr>
            <w:tcW w:w="932" w:type="dxa"/>
            <w:tcBorders>
              <w:bottom w:val="single" w:color="auto" w:sz="4" w:space="0"/>
            </w:tcBorders>
          </w:tcPr>
          <w:p w14:paraId="1EF939E2">
            <w:pPr>
              <w:spacing w:after="0"/>
              <w:jc w:val="center"/>
              <w:rPr>
                <w:rFonts w:ascii="Times New Roman" w:hAnsi="Times New Roman" w:cs="Times New Roman"/>
                <w:sz w:val="18"/>
                <w:szCs w:val="18"/>
              </w:rPr>
            </w:pPr>
            <w:r>
              <w:rPr>
                <w:rFonts w:ascii="Times New Roman" w:hAnsi="Times New Roman" w:cs="Times New Roman"/>
                <w:sz w:val="18"/>
                <w:szCs w:val="18"/>
              </w:rPr>
              <w:t>1.73</w:t>
            </w:r>
            <w:r>
              <w:rPr>
                <w:rFonts w:ascii="Times New Roman" w:hAnsi="Times New Roman" w:cs="Times New Roman"/>
                <w:sz w:val="18"/>
                <w:szCs w:val="18"/>
                <w:vertAlign w:val="superscript"/>
              </w:rPr>
              <w:t>a</w:t>
            </w:r>
          </w:p>
        </w:tc>
        <w:tc>
          <w:tcPr>
            <w:tcW w:w="872" w:type="dxa"/>
            <w:tcBorders>
              <w:bottom w:val="single" w:color="auto" w:sz="4" w:space="0"/>
            </w:tcBorders>
          </w:tcPr>
          <w:p w14:paraId="58FEE596">
            <w:pPr>
              <w:spacing w:after="0"/>
              <w:jc w:val="center"/>
              <w:rPr>
                <w:rFonts w:ascii="Times New Roman" w:hAnsi="Times New Roman" w:cs="Times New Roman"/>
                <w:sz w:val="18"/>
                <w:szCs w:val="18"/>
              </w:rPr>
            </w:pPr>
            <w:r>
              <w:rPr>
                <w:rFonts w:ascii="Times New Roman" w:hAnsi="Times New Roman" w:cs="Times New Roman"/>
                <w:sz w:val="18"/>
                <w:szCs w:val="18"/>
              </w:rPr>
              <w:t>1.78</w:t>
            </w:r>
            <w:r>
              <w:rPr>
                <w:rFonts w:ascii="Times New Roman" w:hAnsi="Times New Roman" w:cs="Times New Roman"/>
                <w:sz w:val="18"/>
                <w:szCs w:val="18"/>
                <w:vertAlign w:val="superscript"/>
              </w:rPr>
              <w:t>a</w:t>
            </w:r>
          </w:p>
        </w:tc>
        <w:tc>
          <w:tcPr>
            <w:tcW w:w="800" w:type="dxa"/>
            <w:tcBorders>
              <w:bottom w:val="single" w:color="auto" w:sz="4" w:space="0"/>
            </w:tcBorders>
          </w:tcPr>
          <w:p w14:paraId="1970E76B">
            <w:pPr>
              <w:spacing w:after="0"/>
              <w:jc w:val="center"/>
              <w:rPr>
                <w:rFonts w:ascii="Times New Roman" w:hAnsi="Times New Roman" w:cs="Times New Roman"/>
                <w:sz w:val="18"/>
                <w:szCs w:val="18"/>
              </w:rPr>
            </w:pPr>
            <w:r>
              <w:rPr>
                <w:rFonts w:ascii="Times New Roman" w:hAnsi="Times New Roman" w:cs="Times New Roman"/>
                <w:sz w:val="18"/>
                <w:szCs w:val="18"/>
              </w:rPr>
              <w:t>1.75</w:t>
            </w:r>
            <w:r>
              <w:rPr>
                <w:rFonts w:ascii="Times New Roman" w:hAnsi="Times New Roman" w:cs="Times New Roman"/>
                <w:sz w:val="18"/>
                <w:szCs w:val="18"/>
                <w:vertAlign w:val="superscript"/>
              </w:rPr>
              <w:t>a</w:t>
            </w:r>
          </w:p>
        </w:tc>
        <w:tc>
          <w:tcPr>
            <w:tcW w:w="1102" w:type="dxa"/>
            <w:tcBorders>
              <w:bottom w:val="single" w:color="auto" w:sz="4" w:space="0"/>
            </w:tcBorders>
          </w:tcPr>
          <w:p w14:paraId="12DA397D">
            <w:pPr>
              <w:spacing w:after="0"/>
              <w:jc w:val="center"/>
              <w:rPr>
                <w:rFonts w:ascii="Times New Roman" w:hAnsi="Times New Roman" w:cs="Times New Roman"/>
                <w:sz w:val="18"/>
                <w:szCs w:val="18"/>
              </w:rPr>
            </w:pPr>
            <w:r>
              <w:rPr>
                <w:rFonts w:ascii="Times New Roman" w:hAnsi="Times New Roman" w:cs="Times New Roman"/>
                <w:sz w:val="18"/>
                <w:szCs w:val="18"/>
              </w:rPr>
              <w:t>1.60</w:t>
            </w:r>
            <w:r>
              <w:rPr>
                <w:rFonts w:ascii="Times New Roman" w:hAnsi="Times New Roman" w:cs="Times New Roman"/>
                <w:sz w:val="18"/>
                <w:szCs w:val="18"/>
                <w:vertAlign w:val="superscript"/>
              </w:rPr>
              <w:t>b</w:t>
            </w:r>
          </w:p>
        </w:tc>
        <w:tc>
          <w:tcPr>
            <w:tcW w:w="638" w:type="dxa"/>
            <w:tcBorders>
              <w:bottom w:val="single" w:color="auto" w:sz="4" w:space="0"/>
            </w:tcBorders>
          </w:tcPr>
          <w:p w14:paraId="73F10D31">
            <w:pPr>
              <w:pStyle w:val="14"/>
              <w:spacing w:line="276" w:lineRule="auto"/>
              <w:jc w:val="center"/>
              <w:rPr>
                <w:sz w:val="18"/>
                <w:szCs w:val="18"/>
              </w:rPr>
            </w:pPr>
            <w:r>
              <w:rPr>
                <w:sz w:val="18"/>
                <w:szCs w:val="18"/>
              </w:rPr>
              <w:t>0.02</w:t>
            </w:r>
          </w:p>
        </w:tc>
      </w:tr>
      <w:tr w14:paraId="664DB4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808" w:type="dxa"/>
            <w:gridSpan w:val="6"/>
            <w:tcBorders>
              <w:top w:val="single" w:color="auto" w:sz="4" w:space="0"/>
              <w:bottom w:val="nil"/>
            </w:tcBorders>
          </w:tcPr>
          <w:p w14:paraId="07B9AC38">
            <w:pPr>
              <w:spacing w:after="0"/>
              <w:jc w:val="both"/>
              <w:rPr>
                <w:sz w:val="18"/>
                <w:szCs w:val="18"/>
              </w:rPr>
            </w:pPr>
            <w:r>
              <w:rPr>
                <w:rFonts w:ascii="Times New Roman" w:hAnsi="Times New Roman" w:cs="Times New Roman"/>
                <w:color w:val="000000"/>
                <w:sz w:val="20"/>
                <w:szCs w:val="20"/>
                <w:vertAlign w:val="superscript"/>
                <w:lang w:val="en-US"/>
              </w:rPr>
              <w:t>abc</w:t>
            </w:r>
            <w:r>
              <w:rPr>
                <w:rFonts w:ascii="Times New Roman" w:hAnsi="Times New Roman" w:cs="Times New Roman"/>
                <w:b/>
                <w:color w:val="000000"/>
                <w:sz w:val="16"/>
                <w:szCs w:val="16"/>
                <w:lang w:val="en-US"/>
              </w:rPr>
              <w:t>: Means in the same row with different superscripts differ significantly (P≤0.05).  AWGA-Average daily weight gain</w:t>
            </w:r>
          </w:p>
        </w:tc>
      </w:tr>
    </w:tbl>
    <w:p w14:paraId="263A2F25">
      <w:pPr>
        <w:spacing w:after="0"/>
        <w:jc w:val="both"/>
        <w:rPr>
          <w:rFonts w:ascii="Times New Roman" w:hAnsi="Times New Roman" w:eastAsia="Times New Roman" w:cs="Times New Roman"/>
          <w:sz w:val="20"/>
          <w:szCs w:val="20"/>
          <w:lang w:val="en-US"/>
        </w:rPr>
      </w:pPr>
    </w:p>
    <w:p w14:paraId="61E8E173">
      <w:pPr>
        <w:spacing w:after="0"/>
        <w:jc w:val="both"/>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 xml:space="preserve">The impact of </w:t>
      </w:r>
      <w:r>
        <w:rPr>
          <w:rFonts w:ascii="Times New Roman" w:hAnsi="Times New Roman" w:cs="Times New Roman"/>
          <w:bCs/>
          <w:sz w:val="20"/>
          <w:szCs w:val="20"/>
        </w:rPr>
        <w:t>thorn apple fruit, leaf and their blend</w:t>
      </w:r>
      <w:r>
        <w:rPr>
          <w:rFonts w:ascii="Times New Roman" w:hAnsi="Times New Roman" w:cs="Times New Roman"/>
          <w:sz w:val="20"/>
          <w:szCs w:val="20"/>
        </w:rPr>
        <w:t xml:space="preserve"> on carcass characteristics on broiler chicken</w:t>
      </w:r>
      <w:r>
        <w:rPr>
          <w:rFonts w:ascii="Times New Roman" w:hAnsi="Times New Roman" w:eastAsia="Times New Roman" w:cs="Times New Roman"/>
          <w:sz w:val="20"/>
          <w:szCs w:val="20"/>
          <w:lang w:val="en-US"/>
        </w:rPr>
        <w:t xml:space="preserve"> and relative cut-up portions of broiler chicken is shown in Table II. Carcass weight, and breast, wing, back, drumstick, thigh and back are significantly (P ≤ 0.05) different. Broiler chicken birds fed </w:t>
      </w:r>
      <w:r>
        <w:rPr>
          <w:rFonts w:ascii="Times New Roman" w:hAnsi="Times New Roman" w:eastAsia="Times New Roman" w:cs="Times New Roman"/>
          <w:sz w:val="20"/>
          <w:szCs w:val="20"/>
        </w:rPr>
        <w:t>diet containing thorn apple fruit and leaf powder blend (1g of fruit and 1g of leaf per kg of feed)</w:t>
      </w:r>
      <w:r>
        <w:rPr>
          <w:rFonts w:ascii="Times New Roman" w:hAnsi="Times New Roman" w:eastAsia="Times New Roman" w:cs="Times New Roman"/>
          <w:sz w:val="20"/>
          <w:szCs w:val="20"/>
          <w:lang w:val="en-US"/>
        </w:rPr>
        <w:t xml:space="preserve">had the highest value (p&lt;0.05) of carcass weight (2847.00g) while broiler chicken fed diet containing </w:t>
      </w:r>
      <w:r>
        <w:rPr>
          <w:rFonts w:ascii="Times New Roman" w:hAnsi="Times New Roman" w:eastAsia="Times New Roman" w:cs="Times New Roman"/>
          <w:sz w:val="20"/>
          <w:szCs w:val="20"/>
        </w:rPr>
        <w:t>thorn apple leaf (2g of leaf per kg of feed) had the least (2430.00g).</w:t>
      </w:r>
      <w:r>
        <w:rPr>
          <w:rFonts w:ascii="Times New Roman" w:hAnsi="Times New Roman" w:eastAsia="Times New Roman" w:cs="Times New Roman"/>
          <w:sz w:val="20"/>
          <w:szCs w:val="20"/>
          <w:lang w:val="en-US"/>
        </w:rPr>
        <w:t xml:space="preserve">Breast weight was highest (P≤0.05) in broiler fed diet </w:t>
      </w:r>
      <w:r>
        <w:rPr>
          <w:rFonts w:ascii="Times New Roman" w:hAnsi="Times New Roman" w:eastAsia="Times New Roman" w:cs="Times New Roman"/>
          <w:sz w:val="20"/>
          <w:szCs w:val="20"/>
        </w:rPr>
        <w:t>thorn apple fruit and leaf powder blend (1g of fruit and 1g of leaf per kg of feed)</w:t>
      </w:r>
      <w:r>
        <w:rPr>
          <w:rFonts w:ascii="Times New Roman" w:hAnsi="Times New Roman" w:eastAsia="Times New Roman" w:cs="Times New Roman"/>
          <w:sz w:val="20"/>
          <w:szCs w:val="20"/>
          <w:lang w:val="en-US"/>
        </w:rPr>
        <w:t xml:space="preserve"> (40.13%), while the lowest value (35.33%) was found in broiler fed diet containing t</w:t>
      </w:r>
      <w:r>
        <w:rPr>
          <w:rFonts w:ascii="Times New Roman" w:hAnsi="Times New Roman" w:eastAsia="Times New Roman" w:cs="Times New Roman"/>
          <w:sz w:val="20"/>
          <w:szCs w:val="20"/>
        </w:rPr>
        <w:t>horn apple fruit (2g of fruit per kg of feed)</w:t>
      </w:r>
      <w:r>
        <w:rPr>
          <w:rFonts w:ascii="Times New Roman" w:hAnsi="Times New Roman" w:eastAsia="Times New Roman" w:cs="Times New Roman"/>
          <w:sz w:val="20"/>
          <w:szCs w:val="20"/>
          <w:lang w:val="en-US"/>
        </w:rPr>
        <w:t xml:space="preserve">.The wing weight of broiler chickens fed a diet containing </w:t>
      </w:r>
      <w:r>
        <w:rPr>
          <w:rFonts w:ascii="Times New Roman" w:hAnsi="Times New Roman" w:eastAsia="Times New Roman" w:cs="Times New Roman"/>
          <w:sz w:val="20"/>
          <w:szCs w:val="20"/>
        </w:rPr>
        <w:t>thorn apple leaf (2g of leaf per kg of feed)</w:t>
      </w:r>
      <w:r>
        <w:rPr>
          <w:rFonts w:ascii="Times New Roman" w:hAnsi="Times New Roman" w:eastAsia="Times New Roman" w:cs="Times New Roman"/>
          <w:sz w:val="20"/>
          <w:szCs w:val="20"/>
          <w:lang w:val="en-US"/>
        </w:rPr>
        <w:t xml:space="preserve">(P &lt; 0.05) at 10.04%, whereas the weight of those fed a control diet was the lowest at 8.62%.Highest value (P &lt; 0.05) of back (18.26%) was recorded from broiler chicken fed diet containing </w:t>
      </w:r>
      <w:r>
        <w:rPr>
          <w:rFonts w:ascii="Times New Roman" w:hAnsi="Times New Roman" w:eastAsia="Times New Roman" w:cs="Times New Roman"/>
          <w:sz w:val="20"/>
          <w:szCs w:val="20"/>
        </w:rPr>
        <w:t xml:space="preserve">Thorn apple fruit (2g of fruit per kg of feed) </w:t>
      </w:r>
      <w:r>
        <w:rPr>
          <w:rFonts w:ascii="Times New Roman" w:hAnsi="Times New Roman" w:eastAsia="Times New Roman" w:cs="Times New Roman"/>
          <w:sz w:val="20"/>
          <w:szCs w:val="20"/>
          <w:lang w:val="en-US"/>
        </w:rPr>
        <w:t xml:space="preserve">while broiler chicken fed diet containing </w:t>
      </w:r>
      <w:r>
        <w:rPr>
          <w:rFonts w:ascii="Times New Roman" w:hAnsi="Times New Roman" w:eastAsia="Times New Roman" w:cs="Times New Roman"/>
          <w:sz w:val="20"/>
          <w:szCs w:val="20"/>
        </w:rPr>
        <w:t>Thorn apple fruit and leaf (1g of fruit and 1g of leaf per kg of feed)</w:t>
      </w:r>
      <w:r>
        <w:rPr>
          <w:rFonts w:ascii="Times New Roman" w:hAnsi="Times New Roman" w:eastAsia="Times New Roman" w:cs="Times New Roman"/>
          <w:sz w:val="20"/>
          <w:szCs w:val="20"/>
          <w:lang w:val="en-US"/>
        </w:rPr>
        <w:t xml:space="preserve"> had the least (15.79%).Highest value (P &lt; 0.05) of thigh (16.03%) was recorded from broiler chicken fed diet containing </w:t>
      </w:r>
      <w:r>
        <w:rPr>
          <w:rFonts w:ascii="Times New Roman" w:hAnsi="Times New Roman" w:eastAsia="Times New Roman" w:cs="Times New Roman"/>
          <w:sz w:val="20"/>
          <w:szCs w:val="20"/>
        </w:rPr>
        <w:t xml:space="preserve">T2–Thorn apple fruit (2g of fruit per kg of feed) </w:t>
      </w:r>
      <w:r>
        <w:rPr>
          <w:rFonts w:ascii="Times New Roman" w:hAnsi="Times New Roman" w:eastAsia="Times New Roman" w:cs="Times New Roman"/>
          <w:sz w:val="20"/>
          <w:szCs w:val="20"/>
          <w:lang w:val="en-US"/>
        </w:rPr>
        <w:t xml:space="preserve">while broiler chicken fed diet containing </w:t>
      </w:r>
      <w:r>
        <w:rPr>
          <w:rFonts w:ascii="Times New Roman" w:hAnsi="Times New Roman" w:eastAsia="Times New Roman" w:cs="Times New Roman"/>
          <w:sz w:val="20"/>
          <w:szCs w:val="20"/>
        </w:rPr>
        <w:t>Thorn apple fruit and leaf (1g of fruit and 1g of leaf per kg of feed)</w:t>
      </w:r>
      <w:r>
        <w:rPr>
          <w:rFonts w:ascii="Times New Roman" w:hAnsi="Times New Roman" w:eastAsia="Times New Roman" w:cs="Times New Roman"/>
          <w:sz w:val="20"/>
          <w:szCs w:val="20"/>
          <w:lang w:val="en-US"/>
        </w:rPr>
        <w:t xml:space="preserve"> had the least (15.14%). Highest value (P &lt; 0.05) of thigh (7.45%) was recorded from broiler chicken fed diet containing </w:t>
      </w:r>
      <w:r>
        <w:rPr>
          <w:rFonts w:ascii="Times New Roman" w:hAnsi="Times New Roman" w:eastAsia="Times New Roman" w:cs="Times New Roman"/>
          <w:sz w:val="20"/>
          <w:szCs w:val="20"/>
        </w:rPr>
        <w:t xml:space="preserve">Thorn apple leaf (2g of leaf per kg of feed) </w:t>
      </w:r>
      <w:r>
        <w:rPr>
          <w:rFonts w:ascii="Times New Roman" w:hAnsi="Times New Roman" w:eastAsia="Times New Roman" w:cs="Times New Roman"/>
          <w:sz w:val="20"/>
          <w:szCs w:val="20"/>
          <w:lang w:val="en-US"/>
        </w:rPr>
        <w:t xml:space="preserve">while broiler chicken fed diet containing </w:t>
      </w:r>
      <w:r>
        <w:rPr>
          <w:rFonts w:ascii="Times New Roman" w:hAnsi="Times New Roman" w:eastAsia="Times New Roman" w:cs="Times New Roman"/>
          <w:sz w:val="20"/>
          <w:szCs w:val="20"/>
        </w:rPr>
        <w:t>Thorn apple fruit and leaf (1g of fruit and 1g of leaf per kg of feed)</w:t>
      </w:r>
      <w:r>
        <w:rPr>
          <w:rFonts w:ascii="Times New Roman" w:hAnsi="Times New Roman" w:eastAsia="Times New Roman" w:cs="Times New Roman"/>
          <w:sz w:val="20"/>
          <w:szCs w:val="20"/>
          <w:lang w:val="en-US"/>
        </w:rPr>
        <w:t xml:space="preserve"> had the least (6.90%).</w:t>
      </w:r>
    </w:p>
    <w:p w14:paraId="44269AA7">
      <w:pPr>
        <w:spacing w:after="0"/>
        <w:jc w:val="both"/>
        <w:rPr>
          <w:rFonts w:ascii="Times New Roman" w:hAnsi="Times New Roman" w:eastAsia="Times New Roman" w:cs="Times New Roman"/>
          <w:sz w:val="20"/>
          <w:szCs w:val="20"/>
          <w:lang w:val="en-US"/>
        </w:rPr>
      </w:pPr>
    </w:p>
    <w:p w14:paraId="20B1DB5E">
      <w:pPr>
        <w:spacing w:after="0"/>
        <w:rPr>
          <w:rFonts w:ascii="Times New Roman" w:hAnsi="Times New Roman" w:cs="Times New Roman"/>
          <w:sz w:val="20"/>
          <w:szCs w:val="20"/>
        </w:rPr>
      </w:pPr>
    </w:p>
    <w:tbl>
      <w:tblPr>
        <w:tblStyle w:val="4"/>
        <w:tblpPr w:leftFromText="180" w:rightFromText="180" w:vertAnchor="page" w:horzAnchor="margin" w:tblpY="1454"/>
        <w:tblW w:w="10174"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1496"/>
        <w:gridCol w:w="1284"/>
        <w:gridCol w:w="1496"/>
        <w:gridCol w:w="1816"/>
        <w:gridCol w:w="2244"/>
      </w:tblGrid>
      <w:tr w14:paraId="218DC4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0174" w:type="dxa"/>
            <w:gridSpan w:val="6"/>
            <w:tcBorders>
              <w:top w:val="nil"/>
              <w:bottom w:val="single" w:color="auto" w:sz="4" w:space="0"/>
            </w:tcBorders>
          </w:tcPr>
          <w:p w14:paraId="3BF888F9">
            <w:pPr>
              <w:spacing w:after="0"/>
              <w:rPr>
                <w:rFonts w:ascii="Times New Roman" w:hAnsi="Times New Roman" w:eastAsia="SimSun" w:cs="Times New Roman"/>
                <w:sz w:val="20"/>
                <w:szCs w:val="20"/>
              </w:rPr>
            </w:pPr>
            <w:r>
              <w:rPr>
                <w:rFonts w:ascii="Times New Roman" w:hAnsi="Times New Roman" w:cs="Times New Roman"/>
                <w:b/>
                <w:bCs/>
                <w:sz w:val="20"/>
                <w:szCs w:val="20"/>
              </w:rPr>
              <w:t xml:space="preserve">TABLE II:  CARCASS CHARACTERISTICS OFBROILER CHICKENS FED DIET CONTAINING </w:t>
            </w:r>
            <w:r>
              <w:rPr>
                <w:rFonts w:ascii="Times New Roman" w:hAnsi="Times New Roman" w:cs="Times New Roman"/>
                <w:b/>
                <w:sz w:val="20"/>
                <w:szCs w:val="20"/>
              </w:rPr>
              <w:t>DIFFERENT LEVELS OF THORN APPLE FRUIT, LEAF AND THEIR BLEND</w:t>
            </w:r>
          </w:p>
        </w:tc>
      </w:tr>
      <w:tr w14:paraId="089E97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Borders>
              <w:top w:val="single" w:color="auto" w:sz="4" w:space="0"/>
              <w:bottom w:val="single" w:color="auto" w:sz="4" w:space="0"/>
            </w:tcBorders>
          </w:tcPr>
          <w:p w14:paraId="14C6AB73">
            <w:pPr>
              <w:spacing w:after="0"/>
              <w:rPr>
                <w:rFonts w:ascii="Times New Roman" w:hAnsi="Times New Roman" w:eastAsia="SimSun" w:cs="Times New Roman"/>
                <w:b/>
                <w:bCs/>
                <w:sz w:val="20"/>
                <w:szCs w:val="20"/>
              </w:rPr>
            </w:pPr>
            <w:r>
              <w:rPr>
                <w:rFonts w:ascii="Times New Roman" w:hAnsi="Times New Roman" w:eastAsia="SimSun" w:cs="Times New Roman"/>
                <w:b/>
                <w:bCs/>
                <w:sz w:val="20"/>
                <w:szCs w:val="20"/>
              </w:rPr>
              <w:t>Parameters</w:t>
            </w:r>
          </w:p>
        </w:tc>
        <w:tc>
          <w:tcPr>
            <w:tcW w:w="1496" w:type="dxa"/>
            <w:tcBorders>
              <w:top w:val="single" w:color="auto" w:sz="4" w:space="0"/>
              <w:bottom w:val="single" w:color="auto" w:sz="4" w:space="0"/>
            </w:tcBorders>
          </w:tcPr>
          <w:p w14:paraId="382749BF">
            <w:pPr>
              <w:spacing w:after="0"/>
              <w:rPr>
                <w:rFonts w:ascii="Times New Roman" w:hAnsi="Times New Roman" w:eastAsia="SimSun" w:cs="Times New Roman"/>
                <w:sz w:val="20"/>
                <w:szCs w:val="20"/>
              </w:rPr>
            </w:pPr>
            <w:r>
              <w:rPr>
                <w:rFonts w:ascii="Times New Roman" w:hAnsi="Times New Roman" w:eastAsia="SimSun" w:cs="Times New Roman"/>
                <w:b/>
                <w:sz w:val="20"/>
                <w:szCs w:val="20"/>
              </w:rPr>
              <w:t>Control</w:t>
            </w:r>
          </w:p>
        </w:tc>
        <w:tc>
          <w:tcPr>
            <w:tcW w:w="1284" w:type="dxa"/>
            <w:tcBorders>
              <w:top w:val="single" w:color="auto" w:sz="4" w:space="0"/>
              <w:bottom w:val="single" w:color="auto" w:sz="4" w:space="0"/>
            </w:tcBorders>
          </w:tcPr>
          <w:p w14:paraId="7EB8B5CE">
            <w:pPr>
              <w:spacing w:after="0"/>
              <w:rPr>
                <w:rFonts w:ascii="Times New Roman" w:hAnsi="Times New Roman" w:eastAsia="SimSun" w:cs="Times New Roman"/>
                <w:sz w:val="20"/>
                <w:szCs w:val="20"/>
              </w:rPr>
            </w:pPr>
            <w:r>
              <w:rPr>
                <w:rFonts w:ascii="Times New Roman" w:hAnsi="Times New Roman" w:eastAsia="SimSun" w:cs="Times New Roman"/>
                <w:b/>
                <w:sz w:val="20"/>
                <w:szCs w:val="20"/>
              </w:rPr>
              <w:t>Fruit</w:t>
            </w:r>
          </w:p>
        </w:tc>
        <w:tc>
          <w:tcPr>
            <w:tcW w:w="1496" w:type="dxa"/>
            <w:tcBorders>
              <w:top w:val="single" w:color="auto" w:sz="4" w:space="0"/>
              <w:bottom w:val="single" w:color="auto" w:sz="4" w:space="0"/>
            </w:tcBorders>
          </w:tcPr>
          <w:p w14:paraId="4BDFABA0">
            <w:pPr>
              <w:spacing w:after="0"/>
              <w:rPr>
                <w:rFonts w:ascii="Times New Roman" w:hAnsi="Times New Roman" w:eastAsia="SimSun" w:cs="Times New Roman"/>
                <w:sz w:val="20"/>
                <w:szCs w:val="20"/>
              </w:rPr>
            </w:pPr>
            <w:r>
              <w:rPr>
                <w:rFonts w:ascii="Times New Roman" w:hAnsi="Times New Roman" w:eastAsia="SimSun" w:cs="Times New Roman"/>
                <w:b/>
                <w:sz w:val="20"/>
                <w:szCs w:val="20"/>
              </w:rPr>
              <w:t>Leaf</w:t>
            </w:r>
          </w:p>
        </w:tc>
        <w:tc>
          <w:tcPr>
            <w:tcW w:w="1816" w:type="dxa"/>
            <w:tcBorders>
              <w:top w:val="single" w:color="auto" w:sz="4" w:space="0"/>
              <w:bottom w:val="single" w:color="auto" w:sz="4" w:space="0"/>
            </w:tcBorders>
          </w:tcPr>
          <w:p w14:paraId="16B4B0F3">
            <w:pPr>
              <w:spacing w:after="0"/>
              <w:jc w:val="center"/>
              <w:rPr>
                <w:rFonts w:ascii="Times New Roman" w:hAnsi="Times New Roman" w:eastAsia="SimSun" w:cs="Times New Roman"/>
                <w:sz w:val="20"/>
                <w:szCs w:val="20"/>
              </w:rPr>
            </w:pPr>
            <w:r>
              <w:rPr>
                <w:rFonts w:ascii="Times New Roman" w:hAnsi="Times New Roman" w:eastAsia="SimSun" w:cs="Times New Roman"/>
                <w:b/>
                <w:sz w:val="20"/>
                <w:szCs w:val="20"/>
              </w:rPr>
              <w:t>Leaf+Fruit</w:t>
            </w:r>
          </w:p>
        </w:tc>
        <w:tc>
          <w:tcPr>
            <w:tcW w:w="2244" w:type="dxa"/>
            <w:tcBorders>
              <w:top w:val="single" w:color="auto" w:sz="4" w:space="0"/>
              <w:bottom w:val="single" w:color="auto" w:sz="4" w:space="0"/>
            </w:tcBorders>
          </w:tcPr>
          <w:p w14:paraId="73CEFFE3">
            <w:pPr>
              <w:spacing w:after="0"/>
              <w:rPr>
                <w:rFonts w:ascii="Times New Roman" w:hAnsi="Times New Roman" w:eastAsia="SimSun" w:cs="Times New Roman"/>
                <w:sz w:val="20"/>
                <w:szCs w:val="20"/>
              </w:rPr>
            </w:pPr>
            <w:r>
              <w:rPr>
                <w:rFonts w:ascii="Times New Roman" w:hAnsi="Times New Roman" w:eastAsia="SimSun" w:cs="Times New Roman"/>
                <w:sz w:val="20"/>
                <w:szCs w:val="20"/>
              </w:rPr>
              <w:t>SEM</w:t>
            </w:r>
          </w:p>
        </w:tc>
      </w:tr>
      <w:tr w14:paraId="4C023A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Borders>
              <w:top w:val="single" w:color="auto" w:sz="4" w:space="0"/>
            </w:tcBorders>
          </w:tcPr>
          <w:p w14:paraId="12E873F6">
            <w:pPr>
              <w:spacing w:after="0"/>
              <w:rPr>
                <w:rFonts w:ascii="Times New Roman" w:hAnsi="Times New Roman" w:eastAsia="SimSun" w:cs="Times New Roman"/>
                <w:sz w:val="20"/>
                <w:szCs w:val="20"/>
              </w:rPr>
            </w:pPr>
            <w:r>
              <w:rPr>
                <w:rFonts w:ascii="Times New Roman" w:hAnsi="Times New Roman" w:eastAsia="SimSun" w:cs="Times New Roman"/>
                <w:sz w:val="20"/>
                <w:szCs w:val="20"/>
              </w:rPr>
              <w:t>Live Wt. (g)</w:t>
            </w:r>
          </w:p>
        </w:tc>
        <w:tc>
          <w:tcPr>
            <w:tcW w:w="1496" w:type="dxa"/>
            <w:tcBorders>
              <w:top w:val="single" w:color="auto" w:sz="4" w:space="0"/>
            </w:tcBorders>
          </w:tcPr>
          <w:p w14:paraId="7DA37AFE">
            <w:pPr>
              <w:spacing w:after="0"/>
              <w:rPr>
                <w:rFonts w:ascii="Times New Roman" w:hAnsi="Times New Roman" w:cs="Times New Roman"/>
                <w:sz w:val="20"/>
                <w:szCs w:val="20"/>
              </w:rPr>
            </w:pPr>
            <w:r>
              <w:rPr>
                <w:rFonts w:ascii="Times New Roman" w:hAnsi="Times New Roman" w:cs="Times New Roman"/>
                <w:sz w:val="20"/>
                <w:szCs w:val="20"/>
              </w:rPr>
              <w:t>3850.00</w:t>
            </w:r>
          </w:p>
        </w:tc>
        <w:tc>
          <w:tcPr>
            <w:tcW w:w="1284" w:type="dxa"/>
            <w:tcBorders>
              <w:top w:val="single" w:color="auto" w:sz="4" w:space="0"/>
            </w:tcBorders>
          </w:tcPr>
          <w:p w14:paraId="0CEEC257">
            <w:pPr>
              <w:spacing w:after="0"/>
              <w:rPr>
                <w:rFonts w:ascii="Times New Roman" w:hAnsi="Times New Roman" w:cs="Times New Roman"/>
                <w:sz w:val="20"/>
                <w:szCs w:val="20"/>
              </w:rPr>
            </w:pPr>
            <w:r>
              <w:rPr>
                <w:rFonts w:ascii="Times New Roman" w:hAnsi="Times New Roman" w:cs="Times New Roman"/>
                <w:sz w:val="20"/>
                <w:szCs w:val="20"/>
              </w:rPr>
              <w:t>3800.00</w:t>
            </w:r>
          </w:p>
        </w:tc>
        <w:tc>
          <w:tcPr>
            <w:tcW w:w="1496" w:type="dxa"/>
            <w:tcBorders>
              <w:top w:val="single" w:color="auto" w:sz="4" w:space="0"/>
            </w:tcBorders>
          </w:tcPr>
          <w:p w14:paraId="3D756C26">
            <w:pPr>
              <w:spacing w:after="0"/>
              <w:rPr>
                <w:rFonts w:ascii="Times New Roman" w:hAnsi="Times New Roman" w:cs="Times New Roman"/>
                <w:sz w:val="20"/>
                <w:szCs w:val="20"/>
              </w:rPr>
            </w:pPr>
            <w:r>
              <w:rPr>
                <w:rFonts w:ascii="Times New Roman" w:hAnsi="Times New Roman" w:cs="Times New Roman"/>
                <w:sz w:val="20"/>
                <w:szCs w:val="20"/>
              </w:rPr>
              <w:t>3950.00</w:t>
            </w:r>
          </w:p>
        </w:tc>
        <w:tc>
          <w:tcPr>
            <w:tcW w:w="1816" w:type="dxa"/>
            <w:tcBorders>
              <w:top w:val="single" w:color="auto" w:sz="4" w:space="0"/>
            </w:tcBorders>
          </w:tcPr>
          <w:p w14:paraId="14805199">
            <w:pPr>
              <w:spacing w:after="0"/>
              <w:jc w:val="center"/>
              <w:rPr>
                <w:rFonts w:ascii="Times New Roman" w:hAnsi="Times New Roman" w:cs="Times New Roman"/>
                <w:sz w:val="20"/>
                <w:szCs w:val="20"/>
              </w:rPr>
            </w:pPr>
            <w:r>
              <w:rPr>
                <w:rFonts w:ascii="Times New Roman" w:hAnsi="Times New Roman" w:cs="Times New Roman"/>
                <w:sz w:val="20"/>
                <w:szCs w:val="20"/>
              </w:rPr>
              <w:t>3950.00</w:t>
            </w:r>
          </w:p>
        </w:tc>
        <w:tc>
          <w:tcPr>
            <w:tcW w:w="2244" w:type="dxa"/>
            <w:tcBorders>
              <w:top w:val="single" w:color="auto" w:sz="4" w:space="0"/>
            </w:tcBorders>
          </w:tcPr>
          <w:p w14:paraId="11C06506">
            <w:pPr>
              <w:spacing w:after="0"/>
              <w:jc w:val="center"/>
              <w:rPr>
                <w:rFonts w:ascii="Times New Roman" w:hAnsi="Times New Roman" w:cs="Times New Roman"/>
                <w:sz w:val="20"/>
                <w:szCs w:val="20"/>
              </w:rPr>
            </w:pPr>
            <w:r>
              <w:rPr>
                <w:rFonts w:ascii="Times New Roman" w:hAnsi="Times New Roman" w:cs="Times New Roman"/>
                <w:sz w:val="20"/>
                <w:szCs w:val="20"/>
              </w:rPr>
              <w:t>43.55</w:t>
            </w:r>
          </w:p>
        </w:tc>
      </w:tr>
      <w:tr w14:paraId="3544CF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Pr>
          <w:p w14:paraId="108E8FEA">
            <w:pPr>
              <w:spacing w:after="0"/>
              <w:rPr>
                <w:rFonts w:ascii="Times New Roman" w:hAnsi="Times New Roman" w:cs="Times New Roman"/>
                <w:sz w:val="20"/>
                <w:szCs w:val="20"/>
                <w:vertAlign w:val="subscript"/>
              </w:rPr>
            </w:pPr>
            <w:r>
              <w:rPr>
                <w:rFonts w:ascii="Times New Roman" w:hAnsi="Times New Roman" w:cs="Times New Roman"/>
                <w:sz w:val="20"/>
                <w:szCs w:val="20"/>
              </w:rPr>
              <w:t>Carcass weight</w:t>
            </w:r>
          </w:p>
        </w:tc>
        <w:tc>
          <w:tcPr>
            <w:tcW w:w="1496" w:type="dxa"/>
          </w:tcPr>
          <w:p w14:paraId="6D731E93">
            <w:pPr>
              <w:spacing w:after="0"/>
              <w:rPr>
                <w:rFonts w:ascii="Times New Roman" w:hAnsi="Times New Roman" w:cs="Times New Roman"/>
                <w:sz w:val="20"/>
                <w:szCs w:val="20"/>
              </w:rPr>
            </w:pPr>
            <w:r>
              <w:rPr>
                <w:rFonts w:ascii="Times New Roman" w:hAnsi="Times New Roman" w:cs="Times New Roman"/>
                <w:sz w:val="20"/>
                <w:szCs w:val="20"/>
              </w:rPr>
              <w:t>2689.50</w:t>
            </w:r>
            <w:r>
              <w:rPr>
                <w:rFonts w:ascii="Times New Roman" w:hAnsi="Times New Roman" w:cs="Times New Roman"/>
                <w:sz w:val="20"/>
                <w:szCs w:val="20"/>
                <w:vertAlign w:val="superscript"/>
              </w:rPr>
              <w:t>ab</w:t>
            </w:r>
          </w:p>
        </w:tc>
        <w:tc>
          <w:tcPr>
            <w:tcW w:w="1284" w:type="dxa"/>
          </w:tcPr>
          <w:p w14:paraId="6097CCD1">
            <w:pPr>
              <w:spacing w:after="0"/>
              <w:rPr>
                <w:rFonts w:ascii="Times New Roman" w:hAnsi="Times New Roman" w:cs="Times New Roman"/>
                <w:sz w:val="20"/>
                <w:szCs w:val="20"/>
              </w:rPr>
            </w:pPr>
            <w:r>
              <w:rPr>
                <w:rFonts w:ascii="Times New Roman" w:hAnsi="Times New Roman" w:cs="Times New Roman"/>
                <w:sz w:val="20"/>
                <w:szCs w:val="20"/>
              </w:rPr>
              <w:t>2687.50</w:t>
            </w:r>
            <w:r>
              <w:rPr>
                <w:rFonts w:ascii="Times New Roman" w:hAnsi="Times New Roman" w:cs="Times New Roman"/>
                <w:sz w:val="20"/>
                <w:szCs w:val="20"/>
                <w:vertAlign w:val="superscript"/>
              </w:rPr>
              <w:t>ab</w:t>
            </w:r>
          </w:p>
        </w:tc>
        <w:tc>
          <w:tcPr>
            <w:tcW w:w="1496" w:type="dxa"/>
          </w:tcPr>
          <w:p w14:paraId="6E560E23">
            <w:pPr>
              <w:spacing w:after="0"/>
              <w:rPr>
                <w:rFonts w:ascii="Times New Roman" w:hAnsi="Times New Roman" w:cs="Times New Roman"/>
                <w:sz w:val="20"/>
                <w:szCs w:val="20"/>
              </w:rPr>
            </w:pPr>
            <w:r>
              <w:rPr>
                <w:rFonts w:ascii="Times New Roman" w:hAnsi="Times New Roman" w:cs="Times New Roman"/>
                <w:sz w:val="20"/>
                <w:szCs w:val="20"/>
              </w:rPr>
              <w:t>2430.00</w:t>
            </w:r>
            <w:r>
              <w:rPr>
                <w:rFonts w:ascii="Times New Roman" w:hAnsi="Times New Roman" w:cs="Times New Roman"/>
                <w:sz w:val="20"/>
                <w:szCs w:val="20"/>
                <w:vertAlign w:val="superscript"/>
              </w:rPr>
              <w:t>b</w:t>
            </w:r>
          </w:p>
        </w:tc>
        <w:tc>
          <w:tcPr>
            <w:tcW w:w="1816" w:type="dxa"/>
          </w:tcPr>
          <w:p w14:paraId="565A9306">
            <w:pPr>
              <w:spacing w:after="0"/>
              <w:jc w:val="center"/>
              <w:rPr>
                <w:rFonts w:ascii="Times New Roman" w:hAnsi="Times New Roman" w:cs="Times New Roman"/>
                <w:sz w:val="20"/>
                <w:szCs w:val="20"/>
              </w:rPr>
            </w:pPr>
            <w:r>
              <w:rPr>
                <w:rFonts w:ascii="Times New Roman" w:hAnsi="Times New Roman" w:cs="Times New Roman"/>
                <w:sz w:val="20"/>
                <w:szCs w:val="20"/>
              </w:rPr>
              <w:t>2847.00</w:t>
            </w:r>
            <w:r>
              <w:rPr>
                <w:rFonts w:ascii="Times New Roman" w:hAnsi="Times New Roman" w:cs="Times New Roman"/>
                <w:sz w:val="20"/>
                <w:szCs w:val="20"/>
                <w:vertAlign w:val="superscript"/>
              </w:rPr>
              <w:t>a</w:t>
            </w:r>
          </w:p>
        </w:tc>
        <w:tc>
          <w:tcPr>
            <w:tcW w:w="2244" w:type="dxa"/>
          </w:tcPr>
          <w:p w14:paraId="19D96238">
            <w:pPr>
              <w:spacing w:after="0"/>
              <w:jc w:val="center"/>
              <w:rPr>
                <w:rFonts w:ascii="Times New Roman" w:hAnsi="Times New Roman" w:cs="Times New Roman"/>
                <w:sz w:val="20"/>
                <w:szCs w:val="20"/>
              </w:rPr>
            </w:pPr>
            <w:r>
              <w:rPr>
                <w:rFonts w:ascii="Times New Roman" w:hAnsi="Times New Roman" w:cs="Times New Roman"/>
                <w:sz w:val="20"/>
                <w:szCs w:val="20"/>
              </w:rPr>
              <w:t>44.5</w:t>
            </w:r>
          </w:p>
        </w:tc>
      </w:tr>
      <w:tr w14:paraId="743924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Pr>
          <w:p w14:paraId="30230537">
            <w:pPr>
              <w:spacing w:after="0"/>
              <w:rPr>
                <w:rFonts w:ascii="Times New Roman" w:hAnsi="Times New Roman" w:cs="Times New Roman"/>
                <w:sz w:val="20"/>
                <w:szCs w:val="20"/>
              </w:rPr>
            </w:pPr>
            <w:r>
              <w:rPr>
                <w:rFonts w:ascii="Times New Roman" w:hAnsi="Times New Roman" w:cs="Times New Roman"/>
                <w:sz w:val="20"/>
                <w:szCs w:val="20"/>
              </w:rPr>
              <w:t>Dressing %</w:t>
            </w:r>
          </w:p>
        </w:tc>
        <w:tc>
          <w:tcPr>
            <w:tcW w:w="1496" w:type="dxa"/>
          </w:tcPr>
          <w:p w14:paraId="07EA5B1F">
            <w:pPr>
              <w:spacing w:after="0"/>
              <w:rPr>
                <w:rFonts w:ascii="Times New Roman" w:hAnsi="Times New Roman" w:cs="Times New Roman"/>
                <w:sz w:val="20"/>
                <w:szCs w:val="20"/>
              </w:rPr>
            </w:pPr>
            <w:r>
              <w:rPr>
                <w:rFonts w:ascii="Times New Roman" w:hAnsi="Times New Roman" w:cs="Times New Roman"/>
                <w:sz w:val="20"/>
                <w:szCs w:val="20"/>
              </w:rPr>
              <w:t>69.91</w:t>
            </w:r>
          </w:p>
        </w:tc>
        <w:tc>
          <w:tcPr>
            <w:tcW w:w="1284" w:type="dxa"/>
          </w:tcPr>
          <w:p w14:paraId="72DA26B7">
            <w:pPr>
              <w:spacing w:after="0"/>
              <w:rPr>
                <w:rFonts w:ascii="Times New Roman" w:hAnsi="Times New Roman" w:cs="Times New Roman"/>
                <w:sz w:val="20"/>
                <w:szCs w:val="20"/>
              </w:rPr>
            </w:pPr>
            <w:r>
              <w:rPr>
                <w:rFonts w:ascii="Times New Roman" w:hAnsi="Times New Roman" w:cs="Times New Roman"/>
                <w:sz w:val="20"/>
                <w:szCs w:val="20"/>
              </w:rPr>
              <w:t>70.72</w:t>
            </w:r>
          </w:p>
        </w:tc>
        <w:tc>
          <w:tcPr>
            <w:tcW w:w="1496" w:type="dxa"/>
          </w:tcPr>
          <w:p w14:paraId="1DCD231E">
            <w:pPr>
              <w:spacing w:after="0"/>
              <w:rPr>
                <w:rFonts w:ascii="Times New Roman" w:hAnsi="Times New Roman" w:cs="Times New Roman"/>
                <w:sz w:val="20"/>
                <w:szCs w:val="20"/>
              </w:rPr>
            </w:pPr>
            <w:r>
              <w:rPr>
                <w:rFonts w:ascii="Times New Roman" w:hAnsi="Times New Roman" w:cs="Times New Roman"/>
                <w:sz w:val="20"/>
                <w:szCs w:val="20"/>
              </w:rPr>
              <w:t>61.43</w:t>
            </w:r>
          </w:p>
        </w:tc>
        <w:tc>
          <w:tcPr>
            <w:tcW w:w="1816" w:type="dxa"/>
          </w:tcPr>
          <w:p w14:paraId="24B7C65F">
            <w:pPr>
              <w:spacing w:after="0"/>
              <w:jc w:val="center"/>
              <w:rPr>
                <w:rFonts w:ascii="Times New Roman" w:hAnsi="Times New Roman" w:cs="Times New Roman"/>
                <w:sz w:val="20"/>
                <w:szCs w:val="20"/>
              </w:rPr>
            </w:pPr>
            <w:r>
              <w:rPr>
                <w:rFonts w:ascii="Times New Roman" w:hAnsi="Times New Roman" w:cs="Times New Roman"/>
                <w:sz w:val="20"/>
                <w:szCs w:val="20"/>
              </w:rPr>
              <w:t>72.02</w:t>
            </w:r>
          </w:p>
        </w:tc>
        <w:tc>
          <w:tcPr>
            <w:tcW w:w="2244" w:type="dxa"/>
          </w:tcPr>
          <w:p w14:paraId="69057234">
            <w:pPr>
              <w:spacing w:after="0"/>
              <w:jc w:val="center"/>
              <w:rPr>
                <w:rFonts w:ascii="Times New Roman" w:hAnsi="Times New Roman" w:cs="Times New Roman"/>
                <w:sz w:val="20"/>
                <w:szCs w:val="20"/>
              </w:rPr>
            </w:pPr>
            <w:r>
              <w:rPr>
                <w:rFonts w:ascii="Times New Roman" w:hAnsi="Times New Roman" w:cs="Times New Roman"/>
                <w:sz w:val="20"/>
                <w:szCs w:val="20"/>
              </w:rPr>
              <w:t>0.90</w:t>
            </w:r>
          </w:p>
        </w:tc>
      </w:tr>
      <w:tr w14:paraId="63F752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Pr>
          <w:p w14:paraId="4A293ECA">
            <w:pPr>
              <w:spacing w:after="0"/>
              <w:rPr>
                <w:rFonts w:ascii="Times New Roman" w:hAnsi="Times New Roman" w:cs="Times New Roman"/>
                <w:sz w:val="20"/>
                <w:szCs w:val="20"/>
              </w:rPr>
            </w:pPr>
            <w:r>
              <w:rPr>
                <w:rFonts w:ascii="Times New Roman" w:hAnsi="Times New Roman" w:cs="Times New Roman"/>
                <w:sz w:val="20"/>
                <w:szCs w:val="20"/>
              </w:rPr>
              <w:t>Breast</w:t>
            </w:r>
          </w:p>
        </w:tc>
        <w:tc>
          <w:tcPr>
            <w:tcW w:w="1496" w:type="dxa"/>
          </w:tcPr>
          <w:p w14:paraId="29689932">
            <w:pPr>
              <w:spacing w:after="0"/>
              <w:rPr>
                <w:rFonts w:ascii="Times New Roman" w:hAnsi="Times New Roman" w:cs="Times New Roman"/>
                <w:sz w:val="20"/>
                <w:szCs w:val="20"/>
              </w:rPr>
            </w:pPr>
            <w:r>
              <w:rPr>
                <w:rFonts w:ascii="Times New Roman" w:hAnsi="Times New Roman" w:cs="Times New Roman"/>
                <w:sz w:val="20"/>
                <w:szCs w:val="20"/>
              </w:rPr>
              <w:t>39.27</w:t>
            </w:r>
            <w:r>
              <w:rPr>
                <w:rFonts w:ascii="Times New Roman" w:hAnsi="Times New Roman" w:cs="Times New Roman"/>
                <w:sz w:val="20"/>
                <w:szCs w:val="20"/>
                <w:vertAlign w:val="superscript"/>
              </w:rPr>
              <w:t>ab</w:t>
            </w:r>
          </w:p>
        </w:tc>
        <w:tc>
          <w:tcPr>
            <w:tcW w:w="1284" w:type="dxa"/>
          </w:tcPr>
          <w:p w14:paraId="66831FCB">
            <w:pPr>
              <w:spacing w:after="0"/>
              <w:rPr>
                <w:rFonts w:ascii="Times New Roman" w:hAnsi="Times New Roman" w:cs="Times New Roman"/>
                <w:sz w:val="20"/>
                <w:szCs w:val="20"/>
              </w:rPr>
            </w:pPr>
            <w:r>
              <w:rPr>
                <w:rFonts w:ascii="Times New Roman" w:hAnsi="Times New Roman" w:cs="Times New Roman"/>
                <w:sz w:val="20"/>
                <w:szCs w:val="20"/>
              </w:rPr>
              <w:t>35.33</w:t>
            </w:r>
            <w:r>
              <w:rPr>
                <w:rFonts w:ascii="Times New Roman" w:hAnsi="Times New Roman" w:cs="Times New Roman"/>
                <w:sz w:val="20"/>
                <w:szCs w:val="20"/>
                <w:vertAlign w:val="superscript"/>
              </w:rPr>
              <w:t>c</w:t>
            </w:r>
          </w:p>
        </w:tc>
        <w:tc>
          <w:tcPr>
            <w:tcW w:w="1496" w:type="dxa"/>
          </w:tcPr>
          <w:p w14:paraId="41C4355D">
            <w:pPr>
              <w:spacing w:after="0"/>
              <w:rPr>
                <w:rFonts w:ascii="Times New Roman" w:hAnsi="Times New Roman" w:cs="Times New Roman"/>
                <w:sz w:val="20"/>
                <w:szCs w:val="20"/>
              </w:rPr>
            </w:pPr>
            <w:r>
              <w:rPr>
                <w:rFonts w:ascii="Times New Roman" w:hAnsi="Times New Roman" w:cs="Times New Roman"/>
                <w:sz w:val="20"/>
                <w:szCs w:val="20"/>
              </w:rPr>
              <w:t>38.31</w:t>
            </w:r>
            <w:r>
              <w:rPr>
                <w:rFonts w:ascii="Times New Roman" w:hAnsi="Times New Roman" w:cs="Times New Roman"/>
                <w:sz w:val="20"/>
                <w:szCs w:val="20"/>
                <w:vertAlign w:val="superscript"/>
              </w:rPr>
              <w:t>b</w:t>
            </w:r>
          </w:p>
        </w:tc>
        <w:tc>
          <w:tcPr>
            <w:tcW w:w="1816" w:type="dxa"/>
          </w:tcPr>
          <w:p w14:paraId="16E76F15">
            <w:pPr>
              <w:spacing w:after="0"/>
              <w:jc w:val="center"/>
              <w:rPr>
                <w:rFonts w:ascii="Times New Roman" w:hAnsi="Times New Roman" w:cs="Times New Roman"/>
                <w:sz w:val="20"/>
                <w:szCs w:val="20"/>
              </w:rPr>
            </w:pPr>
            <w:r>
              <w:rPr>
                <w:rFonts w:ascii="Times New Roman" w:hAnsi="Times New Roman" w:cs="Times New Roman"/>
                <w:sz w:val="20"/>
                <w:szCs w:val="20"/>
              </w:rPr>
              <w:t>40.13</w:t>
            </w:r>
            <w:r>
              <w:rPr>
                <w:rFonts w:ascii="Times New Roman" w:hAnsi="Times New Roman" w:cs="Times New Roman"/>
                <w:sz w:val="20"/>
                <w:szCs w:val="20"/>
                <w:vertAlign w:val="superscript"/>
              </w:rPr>
              <w:t>a</w:t>
            </w:r>
          </w:p>
        </w:tc>
        <w:tc>
          <w:tcPr>
            <w:tcW w:w="2244" w:type="dxa"/>
          </w:tcPr>
          <w:p w14:paraId="755D56AA">
            <w:pPr>
              <w:spacing w:after="0"/>
              <w:jc w:val="center"/>
              <w:rPr>
                <w:rFonts w:ascii="Times New Roman" w:hAnsi="Times New Roman" w:cs="Times New Roman"/>
                <w:sz w:val="20"/>
                <w:szCs w:val="20"/>
              </w:rPr>
            </w:pPr>
            <w:r>
              <w:rPr>
                <w:rFonts w:ascii="Times New Roman" w:hAnsi="Times New Roman" w:cs="Times New Roman"/>
                <w:sz w:val="20"/>
                <w:szCs w:val="20"/>
              </w:rPr>
              <w:t>0.43</w:t>
            </w:r>
          </w:p>
        </w:tc>
      </w:tr>
      <w:tr w14:paraId="122181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Pr>
          <w:p w14:paraId="0E3C2C70">
            <w:pPr>
              <w:spacing w:after="0"/>
              <w:rPr>
                <w:rFonts w:ascii="Times New Roman" w:hAnsi="Times New Roman" w:cs="Times New Roman"/>
                <w:sz w:val="20"/>
                <w:szCs w:val="20"/>
              </w:rPr>
            </w:pPr>
            <w:r>
              <w:rPr>
                <w:rFonts w:ascii="Times New Roman" w:hAnsi="Times New Roman" w:cs="Times New Roman"/>
                <w:sz w:val="20"/>
                <w:szCs w:val="20"/>
              </w:rPr>
              <w:t>Wing</w:t>
            </w:r>
          </w:p>
        </w:tc>
        <w:tc>
          <w:tcPr>
            <w:tcW w:w="1496" w:type="dxa"/>
          </w:tcPr>
          <w:p w14:paraId="257DC681">
            <w:pPr>
              <w:spacing w:after="0"/>
              <w:rPr>
                <w:rFonts w:ascii="Times New Roman" w:hAnsi="Times New Roman" w:cs="Times New Roman"/>
                <w:sz w:val="20"/>
                <w:szCs w:val="20"/>
              </w:rPr>
            </w:pPr>
            <w:r>
              <w:rPr>
                <w:rFonts w:ascii="Times New Roman" w:hAnsi="Times New Roman" w:cs="Times New Roman"/>
                <w:sz w:val="20"/>
                <w:szCs w:val="20"/>
              </w:rPr>
              <w:t>8.62</w:t>
            </w:r>
            <w:r>
              <w:rPr>
                <w:rFonts w:ascii="Times New Roman" w:hAnsi="Times New Roman" w:cs="Times New Roman"/>
                <w:sz w:val="20"/>
                <w:szCs w:val="20"/>
                <w:vertAlign w:val="superscript"/>
              </w:rPr>
              <w:t>b</w:t>
            </w:r>
          </w:p>
        </w:tc>
        <w:tc>
          <w:tcPr>
            <w:tcW w:w="1284" w:type="dxa"/>
          </w:tcPr>
          <w:p w14:paraId="47753D0E">
            <w:pPr>
              <w:spacing w:after="0"/>
              <w:rPr>
                <w:rFonts w:ascii="Times New Roman" w:hAnsi="Times New Roman" w:cs="Times New Roman"/>
                <w:sz w:val="20"/>
                <w:szCs w:val="20"/>
              </w:rPr>
            </w:pPr>
            <w:r>
              <w:rPr>
                <w:rFonts w:ascii="Times New Roman" w:hAnsi="Times New Roman" w:cs="Times New Roman"/>
                <w:sz w:val="20"/>
                <w:szCs w:val="20"/>
              </w:rPr>
              <w:t>9.44</w:t>
            </w:r>
            <w:r>
              <w:rPr>
                <w:rFonts w:ascii="Times New Roman" w:hAnsi="Times New Roman" w:cs="Times New Roman"/>
                <w:sz w:val="20"/>
                <w:szCs w:val="20"/>
                <w:vertAlign w:val="superscript"/>
              </w:rPr>
              <w:t>ab</w:t>
            </w:r>
          </w:p>
        </w:tc>
        <w:tc>
          <w:tcPr>
            <w:tcW w:w="1496" w:type="dxa"/>
          </w:tcPr>
          <w:p w14:paraId="3756A0D9">
            <w:pPr>
              <w:spacing w:after="0"/>
              <w:rPr>
                <w:rFonts w:ascii="Times New Roman" w:hAnsi="Times New Roman" w:cs="Times New Roman"/>
                <w:sz w:val="20"/>
                <w:szCs w:val="20"/>
              </w:rPr>
            </w:pPr>
            <w:r>
              <w:rPr>
                <w:rFonts w:ascii="Times New Roman" w:hAnsi="Times New Roman" w:cs="Times New Roman"/>
                <w:sz w:val="20"/>
                <w:szCs w:val="20"/>
              </w:rPr>
              <w:t>10.04</w:t>
            </w:r>
            <w:r>
              <w:rPr>
                <w:rFonts w:ascii="Times New Roman" w:hAnsi="Times New Roman" w:cs="Times New Roman"/>
                <w:sz w:val="20"/>
                <w:szCs w:val="20"/>
                <w:vertAlign w:val="superscript"/>
              </w:rPr>
              <w:t>a</w:t>
            </w:r>
          </w:p>
        </w:tc>
        <w:tc>
          <w:tcPr>
            <w:tcW w:w="1816" w:type="dxa"/>
          </w:tcPr>
          <w:p w14:paraId="472BB62D">
            <w:pPr>
              <w:spacing w:after="0"/>
              <w:jc w:val="center"/>
              <w:rPr>
                <w:rFonts w:ascii="Times New Roman" w:hAnsi="Times New Roman" w:cs="Times New Roman"/>
                <w:sz w:val="20"/>
                <w:szCs w:val="20"/>
              </w:rPr>
            </w:pPr>
            <w:r>
              <w:rPr>
                <w:rFonts w:ascii="Times New Roman" w:hAnsi="Times New Roman" w:cs="Times New Roman"/>
                <w:sz w:val="20"/>
                <w:szCs w:val="20"/>
              </w:rPr>
              <w:t>9.37</w:t>
            </w:r>
            <w:r>
              <w:rPr>
                <w:rFonts w:ascii="Times New Roman" w:hAnsi="Times New Roman" w:cs="Times New Roman"/>
                <w:sz w:val="20"/>
                <w:szCs w:val="20"/>
                <w:vertAlign w:val="superscript"/>
              </w:rPr>
              <w:t>ab</w:t>
            </w:r>
          </w:p>
        </w:tc>
        <w:tc>
          <w:tcPr>
            <w:tcW w:w="2244" w:type="dxa"/>
          </w:tcPr>
          <w:p w14:paraId="6F290C60">
            <w:pPr>
              <w:spacing w:after="0"/>
              <w:jc w:val="center"/>
              <w:rPr>
                <w:rFonts w:ascii="Times New Roman" w:hAnsi="Times New Roman" w:cs="Times New Roman"/>
                <w:sz w:val="20"/>
                <w:szCs w:val="20"/>
              </w:rPr>
            </w:pPr>
            <w:r>
              <w:rPr>
                <w:rFonts w:ascii="Times New Roman" w:hAnsi="Times New Roman" w:cs="Times New Roman"/>
                <w:sz w:val="20"/>
                <w:szCs w:val="20"/>
              </w:rPr>
              <w:t>0.12</w:t>
            </w:r>
          </w:p>
        </w:tc>
      </w:tr>
      <w:tr w14:paraId="78BBFB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Pr>
          <w:p w14:paraId="056AAEFD">
            <w:pPr>
              <w:spacing w:after="0"/>
              <w:rPr>
                <w:rFonts w:ascii="Times New Roman" w:hAnsi="Times New Roman" w:cs="Times New Roman"/>
                <w:sz w:val="20"/>
                <w:szCs w:val="20"/>
              </w:rPr>
            </w:pPr>
            <w:r>
              <w:rPr>
                <w:rFonts w:ascii="Times New Roman" w:hAnsi="Times New Roman" w:cs="Times New Roman"/>
                <w:sz w:val="20"/>
                <w:szCs w:val="20"/>
              </w:rPr>
              <w:t>WriBack</w:t>
            </w:r>
          </w:p>
        </w:tc>
        <w:tc>
          <w:tcPr>
            <w:tcW w:w="1496" w:type="dxa"/>
          </w:tcPr>
          <w:p w14:paraId="27E795BB">
            <w:pPr>
              <w:spacing w:after="0"/>
              <w:rPr>
                <w:rFonts w:ascii="Times New Roman" w:hAnsi="Times New Roman" w:cs="Times New Roman"/>
                <w:sz w:val="20"/>
                <w:szCs w:val="20"/>
              </w:rPr>
            </w:pPr>
            <w:r>
              <w:rPr>
                <w:rFonts w:ascii="Times New Roman" w:hAnsi="Times New Roman" w:cs="Times New Roman"/>
                <w:sz w:val="20"/>
                <w:szCs w:val="20"/>
              </w:rPr>
              <w:t>16.95</w:t>
            </w:r>
            <w:r>
              <w:rPr>
                <w:rFonts w:ascii="Times New Roman" w:hAnsi="Times New Roman" w:cs="Times New Roman"/>
                <w:sz w:val="20"/>
                <w:szCs w:val="20"/>
                <w:vertAlign w:val="superscript"/>
              </w:rPr>
              <w:t>c</w:t>
            </w:r>
          </w:p>
        </w:tc>
        <w:tc>
          <w:tcPr>
            <w:tcW w:w="1284" w:type="dxa"/>
          </w:tcPr>
          <w:p w14:paraId="41D842F2">
            <w:pPr>
              <w:spacing w:after="0"/>
              <w:rPr>
                <w:rFonts w:ascii="Times New Roman" w:hAnsi="Times New Roman" w:cs="Times New Roman"/>
                <w:sz w:val="20"/>
                <w:szCs w:val="20"/>
              </w:rPr>
            </w:pPr>
            <w:r>
              <w:rPr>
                <w:rFonts w:ascii="Times New Roman" w:hAnsi="Times New Roman" w:cs="Times New Roman"/>
                <w:sz w:val="20"/>
                <w:szCs w:val="20"/>
              </w:rPr>
              <w:t>18.26</w:t>
            </w:r>
            <w:r>
              <w:rPr>
                <w:rFonts w:ascii="Times New Roman" w:hAnsi="Times New Roman" w:cs="Times New Roman"/>
                <w:sz w:val="20"/>
                <w:szCs w:val="20"/>
                <w:vertAlign w:val="superscript"/>
              </w:rPr>
              <w:t>a</w:t>
            </w:r>
          </w:p>
        </w:tc>
        <w:tc>
          <w:tcPr>
            <w:tcW w:w="1496" w:type="dxa"/>
          </w:tcPr>
          <w:p w14:paraId="2D801CED">
            <w:pPr>
              <w:spacing w:after="0"/>
              <w:rPr>
                <w:rFonts w:ascii="Times New Roman" w:hAnsi="Times New Roman" w:cs="Times New Roman"/>
                <w:sz w:val="20"/>
                <w:szCs w:val="20"/>
              </w:rPr>
            </w:pPr>
            <w:r>
              <w:rPr>
                <w:rFonts w:ascii="Times New Roman" w:hAnsi="Times New Roman" w:cs="Times New Roman"/>
                <w:sz w:val="20"/>
                <w:szCs w:val="20"/>
              </w:rPr>
              <w:t>17.06</w:t>
            </w:r>
            <w:r>
              <w:rPr>
                <w:rFonts w:ascii="Times New Roman" w:hAnsi="Times New Roman" w:cs="Times New Roman"/>
                <w:sz w:val="20"/>
                <w:szCs w:val="20"/>
                <w:vertAlign w:val="superscript"/>
              </w:rPr>
              <w:t>b</w:t>
            </w:r>
          </w:p>
        </w:tc>
        <w:tc>
          <w:tcPr>
            <w:tcW w:w="1816" w:type="dxa"/>
          </w:tcPr>
          <w:p w14:paraId="14AF288C">
            <w:pPr>
              <w:spacing w:after="0"/>
              <w:jc w:val="center"/>
              <w:rPr>
                <w:rFonts w:ascii="Times New Roman" w:hAnsi="Times New Roman" w:cs="Times New Roman"/>
                <w:sz w:val="20"/>
                <w:szCs w:val="20"/>
              </w:rPr>
            </w:pPr>
            <w:r>
              <w:rPr>
                <w:rFonts w:ascii="Times New Roman" w:hAnsi="Times New Roman" w:cs="Times New Roman"/>
                <w:sz w:val="20"/>
                <w:szCs w:val="20"/>
              </w:rPr>
              <w:t>15.79</w:t>
            </w:r>
            <w:r>
              <w:rPr>
                <w:rFonts w:ascii="Times New Roman" w:hAnsi="Times New Roman" w:cs="Times New Roman"/>
                <w:sz w:val="20"/>
                <w:szCs w:val="20"/>
                <w:vertAlign w:val="superscript"/>
              </w:rPr>
              <w:t>d</w:t>
            </w:r>
          </w:p>
        </w:tc>
        <w:tc>
          <w:tcPr>
            <w:tcW w:w="2244" w:type="dxa"/>
          </w:tcPr>
          <w:p w14:paraId="0F2BFFF1">
            <w:pPr>
              <w:spacing w:after="0"/>
              <w:jc w:val="center"/>
              <w:rPr>
                <w:rFonts w:ascii="Times New Roman" w:hAnsi="Times New Roman" w:cs="Times New Roman"/>
                <w:sz w:val="20"/>
                <w:szCs w:val="20"/>
              </w:rPr>
            </w:pPr>
            <w:r>
              <w:rPr>
                <w:rFonts w:ascii="Times New Roman" w:hAnsi="Times New Roman" w:cs="Times New Roman"/>
                <w:sz w:val="20"/>
                <w:szCs w:val="20"/>
              </w:rPr>
              <w:t>0.17</w:t>
            </w:r>
          </w:p>
        </w:tc>
      </w:tr>
      <w:tr w14:paraId="683872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Pr>
          <w:p w14:paraId="02D15698">
            <w:pPr>
              <w:spacing w:after="0"/>
              <w:rPr>
                <w:rFonts w:ascii="Times New Roman" w:hAnsi="Times New Roman" w:cs="Times New Roman"/>
                <w:sz w:val="20"/>
                <w:szCs w:val="20"/>
              </w:rPr>
            </w:pPr>
            <w:r>
              <w:rPr>
                <w:rFonts w:ascii="Times New Roman" w:hAnsi="Times New Roman" w:cs="Times New Roman"/>
                <w:sz w:val="20"/>
                <w:szCs w:val="20"/>
              </w:rPr>
              <w:t>Drumstick</w:t>
            </w:r>
          </w:p>
        </w:tc>
        <w:tc>
          <w:tcPr>
            <w:tcW w:w="1496" w:type="dxa"/>
          </w:tcPr>
          <w:p w14:paraId="2A29CDD8">
            <w:pPr>
              <w:spacing w:after="0"/>
              <w:rPr>
                <w:rFonts w:ascii="Times New Roman" w:hAnsi="Times New Roman" w:cs="Times New Roman"/>
                <w:sz w:val="20"/>
                <w:szCs w:val="20"/>
              </w:rPr>
            </w:pPr>
            <w:r>
              <w:rPr>
                <w:rFonts w:ascii="Times New Roman" w:hAnsi="Times New Roman" w:cs="Times New Roman"/>
                <w:sz w:val="20"/>
                <w:szCs w:val="20"/>
              </w:rPr>
              <w:t>12.63</w:t>
            </w:r>
          </w:p>
        </w:tc>
        <w:tc>
          <w:tcPr>
            <w:tcW w:w="1284" w:type="dxa"/>
          </w:tcPr>
          <w:p w14:paraId="1499E20F">
            <w:pPr>
              <w:spacing w:after="0"/>
              <w:rPr>
                <w:rFonts w:ascii="Times New Roman" w:hAnsi="Times New Roman" w:cs="Times New Roman"/>
                <w:sz w:val="20"/>
                <w:szCs w:val="20"/>
              </w:rPr>
            </w:pPr>
            <w:r>
              <w:rPr>
                <w:rFonts w:ascii="Times New Roman" w:hAnsi="Times New Roman" w:cs="Times New Roman"/>
                <w:sz w:val="20"/>
                <w:szCs w:val="20"/>
              </w:rPr>
              <w:t>12.62</w:t>
            </w:r>
          </w:p>
        </w:tc>
        <w:tc>
          <w:tcPr>
            <w:tcW w:w="1496" w:type="dxa"/>
          </w:tcPr>
          <w:p w14:paraId="00CDC397">
            <w:pPr>
              <w:spacing w:after="0"/>
              <w:rPr>
                <w:rFonts w:ascii="Times New Roman" w:hAnsi="Times New Roman" w:cs="Times New Roman"/>
                <w:sz w:val="20"/>
                <w:szCs w:val="20"/>
              </w:rPr>
            </w:pPr>
            <w:r>
              <w:rPr>
                <w:rFonts w:ascii="Times New Roman" w:hAnsi="Times New Roman" w:cs="Times New Roman"/>
                <w:sz w:val="20"/>
                <w:szCs w:val="20"/>
              </w:rPr>
              <w:t>12.20</w:t>
            </w:r>
          </w:p>
        </w:tc>
        <w:tc>
          <w:tcPr>
            <w:tcW w:w="1816" w:type="dxa"/>
          </w:tcPr>
          <w:p w14:paraId="1F239BD9">
            <w:pPr>
              <w:spacing w:after="0"/>
              <w:jc w:val="center"/>
              <w:rPr>
                <w:rFonts w:ascii="Times New Roman" w:hAnsi="Times New Roman" w:cs="Times New Roman"/>
                <w:sz w:val="20"/>
                <w:szCs w:val="20"/>
              </w:rPr>
            </w:pPr>
            <w:r>
              <w:rPr>
                <w:rFonts w:ascii="Times New Roman" w:hAnsi="Times New Roman" w:cs="Times New Roman"/>
                <w:sz w:val="20"/>
                <w:szCs w:val="20"/>
              </w:rPr>
              <w:t>12.66</w:t>
            </w:r>
          </w:p>
        </w:tc>
        <w:tc>
          <w:tcPr>
            <w:tcW w:w="2244" w:type="dxa"/>
          </w:tcPr>
          <w:p w14:paraId="3F7603FE">
            <w:pPr>
              <w:spacing w:after="0"/>
              <w:jc w:val="center"/>
              <w:rPr>
                <w:rFonts w:ascii="Times New Roman" w:hAnsi="Times New Roman" w:cs="Times New Roman"/>
                <w:sz w:val="20"/>
                <w:szCs w:val="20"/>
              </w:rPr>
            </w:pPr>
            <w:r>
              <w:rPr>
                <w:rFonts w:ascii="Times New Roman" w:hAnsi="Times New Roman" w:cs="Times New Roman"/>
                <w:sz w:val="20"/>
                <w:szCs w:val="20"/>
              </w:rPr>
              <w:t>0.17</w:t>
            </w:r>
          </w:p>
        </w:tc>
      </w:tr>
      <w:tr w14:paraId="7D5C4A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838" w:type="dxa"/>
          </w:tcPr>
          <w:p w14:paraId="6FE667F5">
            <w:pPr>
              <w:spacing w:after="0"/>
              <w:rPr>
                <w:rFonts w:ascii="Times New Roman" w:hAnsi="Times New Roman" w:cs="Times New Roman"/>
                <w:sz w:val="20"/>
                <w:szCs w:val="20"/>
              </w:rPr>
            </w:pPr>
            <w:r>
              <w:rPr>
                <w:rFonts w:ascii="Times New Roman" w:hAnsi="Times New Roman" w:cs="Times New Roman"/>
                <w:sz w:val="20"/>
                <w:szCs w:val="20"/>
              </w:rPr>
              <w:t>Thigh</w:t>
            </w:r>
          </w:p>
        </w:tc>
        <w:tc>
          <w:tcPr>
            <w:tcW w:w="1496" w:type="dxa"/>
          </w:tcPr>
          <w:p w14:paraId="2F1D44F4">
            <w:pPr>
              <w:spacing w:after="0"/>
              <w:rPr>
                <w:rFonts w:ascii="Times New Roman" w:hAnsi="Times New Roman" w:cs="Times New Roman"/>
                <w:sz w:val="20"/>
                <w:szCs w:val="20"/>
              </w:rPr>
            </w:pPr>
            <w:r>
              <w:rPr>
                <w:rFonts w:ascii="Times New Roman" w:hAnsi="Times New Roman" w:cs="Times New Roman"/>
                <w:sz w:val="20"/>
                <w:szCs w:val="20"/>
              </w:rPr>
              <w:t>15.39</w:t>
            </w:r>
            <w:r>
              <w:rPr>
                <w:rFonts w:ascii="Times New Roman" w:hAnsi="Times New Roman" w:cs="Times New Roman"/>
                <w:sz w:val="20"/>
                <w:szCs w:val="20"/>
                <w:vertAlign w:val="superscript"/>
              </w:rPr>
              <w:t>b</w:t>
            </w:r>
          </w:p>
        </w:tc>
        <w:tc>
          <w:tcPr>
            <w:tcW w:w="1284" w:type="dxa"/>
          </w:tcPr>
          <w:p w14:paraId="3FA75C4E">
            <w:pPr>
              <w:spacing w:after="0"/>
              <w:rPr>
                <w:rFonts w:ascii="Times New Roman" w:hAnsi="Times New Roman" w:cs="Times New Roman"/>
                <w:sz w:val="20"/>
                <w:szCs w:val="20"/>
              </w:rPr>
            </w:pPr>
            <w:r>
              <w:rPr>
                <w:rFonts w:ascii="Times New Roman" w:hAnsi="Times New Roman" w:cs="Times New Roman"/>
                <w:sz w:val="20"/>
                <w:szCs w:val="20"/>
              </w:rPr>
              <w:t>16.03</w:t>
            </w:r>
            <w:r>
              <w:rPr>
                <w:rFonts w:ascii="Times New Roman" w:hAnsi="Times New Roman" w:cs="Times New Roman"/>
                <w:sz w:val="20"/>
                <w:szCs w:val="20"/>
                <w:vertAlign w:val="superscript"/>
              </w:rPr>
              <w:t>a</w:t>
            </w:r>
          </w:p>
        </w:tc>
        <w:tc>
          <w:tcPr>
            <w:tcW w:w="1496" w:type="dxa"/>
          </w:tcPr>
          <w:p w14:paraId="61722602">
            <w:pPr>
              <w:spacing w:after="0"/>
              <w:rPr>
                <w:rFonts w:ascii="Times New Roman" w:hAnsi="Times New Roman" w:cs="Times New Roman"/>
                <w:sz w:val="20"/>
                <w:szCs w:val="20"/>
              </w:rPr>
            </w:pPr>
            <w:r>
              <w:rPr>
                <w:rFonts w:ascii="Times New Roman" w:hAnsi="Times New Roman" w:cs="Times New Roman"/>
                <w:sz w:val="20"/>
                <w:szCs w:val="20"/>
              </w:rPr>
              <w:t>15.29</w:t>
            </w:r>
            <w:r>
              <w:rPr>
                <w:rFonts w:ascii="Times New Roman" w:hAnsi="Times New Roman" w:cs="Times New Roman"/>
                <w:sz w:val="20"/>
                <w:szCs w:val="20"/>
                <w:vertAlign w:val="superscript"/>
              </w:rPr>
              <w:t>b</w:t>
            </w:r>
          </w:p>
        </w:tc>
        <w:tc>
          <w:tcPr>
            <w:tcW w:w="1816" w:type="dxa"/>
          </w:tcPr>
          <w:p w14:paraId="67717FAD">
            <w:pPr>
              <w:spacing w:after="0"/>
              <w:jc w:val="center"/>
              <w:rPr>
                <w:rFonts w:ascii="Times New Roman" w:hAnsi="Times New Roman" w:cs="Times New Roman"/>
                <w:sz w:val="20"/>
                <w:szCs w:val="20"/>
              </w:rPr>
            </w:pPr>
            <w:r>
              <w:rPr>
                <w:rFonts w:ascii="Times New Roman" w:hAnsi="Times New Roman" w:cs="Times New Roman"/>
                <w:sz w:val="20"/>
                <w:szCs w:val="20"/>
              </w:rPr>
              <w:t>15.14</w:t>
            </w:r>
            <w:r>
              <w:rPr>
                <w:rFonts w:ascii="Times New Roman" w:hAnsi="Times New Roman" w:cs="Times New Roman"/>
                <w:sz w:val="20"/>
                <w:szCs w:val="20"/>
                <w:vertAlign w:val="superscript"/>
              </w:rPr>
              <w:t>b</w:t>
            </w:r>
          </w:p>
        </w:tc>
        <w:tc>
          <w:tcPr>
            <w:tcW w:w="2244" w:type="dxa"/>
          </w:tcPr>
          <w:p w14:paraId="3BA5582B">
            <w:pPr>
              <w:spacing w:after="0"/>
              <w:jc w:val="center"/>
              <w:rPr>
                <w:rFonts w:ascii="Times New Roman" w:hAnsi="Times New Roman" w:cs="Times New Roman"/>
                <w:sz w:val="20"/>
                <w:szCs w:val="20"/>
              </w:rPr>
            </w:pPr>
            <w:r>
              <w:rPr>
                <w:rFonts w:ascii="Times New Roman" w:hAnsi="Times New Roman" w:cs="Times New Roman"/>
                <w:sz w:val="20"/>
                <w:szCs w:val="20"/>
              </w:rPr>
              <w:t>0.21</w:t>
            </w:r>
          </w:p>
        </w:tc>
      </w:tr>
      <w:tr w14:paraId="461D99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838" w:type="dxa"/>
            <w:tcBorders>
              <w:bottom w:val="single" w:color="auto" w:sz="4" w:space="0"/>
            </w:tcBorders>
          </w:tcPr>
          <w:p w14:paraId="7C0CD065">
            <w:pPr>
              <w:spacing w:after="0"/>
              <w:rPr>
                <w:rFonts w:ascii="Times New Roman" w:hAnsi="Times New Roman" w:cs="Times New Roman"/>
                <w:sz w:val="20"/>
                <w:szCs w:val="20"/>
              </w:rPr>
            </w:pPr>
            <w:r>
              <w:rPr>
                <w:rFonts w:ascii="Times New Roman" w:hAnsi="Times New Roman" w:cs="Times New Roman"/>
                <w:sz w:val="20"/>
                <w:szCs w:val="20"/>
              </w:rPr>
              <w:t>Neck</w:t>
            </w:r>
          </w:p>
        </w:tc>
        <w:tc>
          <w:tcPr>
            <w:tcW w:w="1496" w:type="dxa"/>
            <w:tcBorders>
              <w:bottom w:val="single" w:color="auto" w:sz="4" w:space="0"/>
            </w:tcBorders>
          </w:tcPr>
          <w:p w14:paraId="0FB5F29E">
            <w:pPr>
              <w:spacing w:after="0"/>
              <w:rPr>
                <w:rFonts w:ascii="Times New Roman" w:hAnsi="Times New Roman" w:cs="Times New Roman"/>
                <w:sz w:val="20"/>
                <w:szCs w:val="20"/>
              </w:rPr>
            </w:pPr>
            <w:r>
              <w:rPr>
                <w:rFonts w:ascii="Times New Roman" w:hAnsi="Times New Roman" w:cs="Times New Roman"/>
                <w:sz w:val="20"/>
                <w:szCs w:val="20"/>
              </w:rPr>
              <w:t>7.21</w:t>
            </w:r>
            <w:r>
              <w:rPr>
                <w:rFonts w:ascii="Times New Roman" w:hAnsi="Times New Roman" w:cs="Times New Roman"/>
                <w:sz w:val="20"/>
                <w:szCs w:val="20"/>
                <w:vertAlign w:val="superscript"/>
              </w:rPr>
              <w:t>b</w:t>
            </w:r>
          </w:p>
        </w:tc>
        <w:tc>
          <w:tcPr>
            <w:tcW w:w="1284" w:type="dxa"/>
            <w:tcBorders>
              <w:bottom w:val="single" w:color="auto" w:sz="4" w:space="0"/>
            </w:tcBorders>
          </w:tcPr>
          <w:p w14:paraId="500C6370">
            <w:pPr>
              <w:spacing w:after="0"/>
              <w:rPr>
                <w:rFonts w:ascii="Times New Roman" w:hAnsi="Times New Roman" w:cs="Times New Roman"/>
                <w:sz w:val="20"/>
                <w:szCs w:val="20"/>
              </w:rPr>
            </w:pPr>
            <w:r>
              <w:rPr>
                <w:rFonts w:ascii="Times New Roman" w:hAnsi="Times New Roman" w:cs="Times New Roman"/>
                <w:sz w:val="20"/>
                <w:szCs w:val="20"/>
              </w:rPr>
              <w:t>7.22</w:t>
            </w:r>
            <w:r>
              <w:rPr>
                <w:rFonts w:ascii="Times New Roman" w:hAnsi="Times New Roman" w:cs="Times New Roman"/>
                <w:sz w:val="20"/>
                <w:szCs w:val="20"/>
                <w:vertAlign w:val="superscript"/>
              </w:rPr>
              <w:t>b</w:t>
            </w:r>
          </w:p>
        </w:tc>
        <w:tc>
          <w:tcPr>
            <w:tcW w:w="1496" w:type="dxa"/>
            <w:tcBorders>
              <w:bottom w:val="single" w:color="auto" w:sz="4" w:space="0"/>
            </w:tcBorders>
          </w:tcPr>
          <w:p w14:paraId="2BB1C212">
            <w:pPr>
              <w:spacing w:after="0"/>
              <w:rPr>
                <w:rFonts w:ascii="Times New Roman" w:hAnsi="Times New Roman" w:cs="Times New Roman"/>
                <w:sz w:val="20"/>
                <w:szCs w:val="20"/>
              </w:rPr>
            </w:pPr>
            <w:r>
              <w:rPr>
                <w:rFonts w:ascii="Times New Roman" w:hAnsi="Times New Roman" w:cs="Times New Roman"/>
                <w:sz w:val="20"/>
                <w:szCs w:val="20"/>
              </w:rPr>
              <w:t>7.45</w:t>
            </w:r>
            <w:r>
              <w:rPr>
                <w:rFonts w:ascii="Times New Roman" w:hAnsi="Times New Roman" w:cs="Times New Roman"/>
                <w:sz w:val="20"/>
                <w:szCs w:val="20"/>
                <w:vertAlign w:val="superscript"/>
              </w:rPr>
              <w:t>a</w:t>
            </w:r>
          </w:p>
        </w:tc>
        <w:tc>
          <w:tcPr>
            <w:tcW w:w="1816" w:type="dxa"/>
            <w:tcBorders>
              <w:bottom w:val="single" w:color="auto" w:sz="4" w:space="0"/>
            </w:tcBorders>
          </w:tcPr>
          <w:p w14:paraId="47E4ED62">
            <w:pPr>
              <w:spacing w:after="0"/>
              <w:jc w:val="center"/>
              <w:rPr>
                <w:rFonts w:ascii="Times New Roman" w:hAnsi="Times New Roman" w:cs="Times New Roman"/>
                <w:sz w:val="20"/>
                <w:szCs w:val="20"/>
              </w:rPr>
            </w:pPr>
            <w:r>
              <w:rPr>
                <w:rFonts w:ascii="Times New Roman" w:hAnsi="Times New Roman" w:cs="Times New Roman"/>
                <w:sz w:val="20"/>
                <w:szCs w:val="20"/>
              </w:rPr>
              <w:t>6.90</w:t>
            </w:r>
            <w:r>
              <w:rPr>
                <w:rFonts w:ascii="Times New Roman" w:hAnsi="Times New Roman" w:cs="Times New Roman"/>
                <w:sz w:val="20"/>
                <w:szCs w:val="20"/>
                <w:vertAlign w:val="superscript"/>
              </w:rPr>
              <w:t>c</w:t>
            </w:r>
          </w:p>
        </w:tc>
        <w:tc>
          <w:tcPr>
            <w:tcW w:w="2244" w:type="dxa"/>
            <w:tcBorders>
              <w:bottom w:val="single" w:color="auto" w:sz="4" w:space="0"/>
            </w:tcBorders>
          </w:tcPr>
          <w:p w14:paraId="2F0D7B0A">
            <w:pPr>
              <w:spacing w:after="0"/>
              <w:jc w:val="center"/>
              <w:rPr>
                <w:rFonts w:ascii="Times New Roman" w:hAnsi="Times New Roman" w:cs="Times New Roman"/>
                <w:sz w:val="20"/>
                <w:szCs w:val="20"/>
              </w:rPr>
            </w:pPr>
            <w:r>
              <w:rPr>
                <w:rFonts w:ascii="Times New Roman" w:hAnsi="Times New Roman" w:cs="Times New Roman"/>
                <w:sz w:val="20"/>
                <w:szCs w:val="20"/>
              </w:rPr>
              <w:t>0.07</w:t>
            </w:r>
          </w:p>
        </w:tc>
      </w:tr>
      <w:tr w14:paraId="3646D4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0174" w:type="dxa"/>
            <w:gridSpan w:val="6"/>
            <w:tcBorders>
              <w:top w:val="single" w:color="auto" w:sz="4" w:space="0"/>
              <w:bottom w:val="nil"/>
            </w:tcBorders>
          </w:tcPr>
          <w:p w14:paraId="1A362C96">
            <w:pPr>
              <w:spacing w:after="0"/>
              <w:jc w:val="both"/>
              <w:rPr>
                <w:rFonts w:ascii="Times New Roman" w:hAnsi="Times New Roman" w:cs="Times New Roman"/>
                <w:b/>
                <w:sz w:val="18"/>
                <w:szCs w:val="18"/>
              </w:rPr>
            </w:pPr>
            <w:r>
              <w:rPr>
                <w:rFonts w:ascii="Times New Roman" w:hAnsi="Times New Roman" w:cs="Times New Roman"/>
                <w:b/>
                <w:color w:val="000000"/>
                <w:sz w:val="18"/>
                <w:szCs w:val="18"/>
                <w:vertAlign w:val="superscript"/>
                <w:lang w:val="en-US"/>
              </w:rPr>
              <w:t>abc</w:t>
            </w:r>
            <w:r>
              <w:rPr>
                <w:rFonts w:ascii="Times New Roman" w:hAnsi="Times New Roman" w:cs="Times New Roman"/>
                <w:b/>
                <w:color w:val="000000"/>
                <w:sz w:val="18"/>
                <w:szCs w:val="18"/>
                <w:lang w:val="en-US"/>
              </w:rPr>
              <w:t xml:space="preserve">: Means in the same row with different superscripts differ significantly (P &lt; 0.05). </w:t>
            </w:r>
            <w:r>
              <w:rPr>
                <w:rFonts w:ascii="Times New Roman" w:hAnsi="Times New Roman" w:eastAsia="Times New Roman" w:cs="Times New Roman"/>
                <w:b/>
                <w:sz w:val="18"/>
                <w:szCs w:val="18"/>
              </w:rPr>
              <w:t>T1: Control diet, T2–Thorn apple fruit (2g of fruit per kg of feed), T3–Thorn apple leaf (2g of leaf per kg of feed) and T4–Thorn apple fruit and leaf (1g of fruit and 1g of leaf per kg of feed)</w:t>
            </w:r>
            <w:r>
              <w:rPr>
                <w:rFonts w:ascii="Times New Roman" w:hAnsi="Times New Roman" w:cs="Times New Roman"/>
                <w:b/>
                <w:sz w:val="18"/>
                <w:szCs w:val="18"/>
              </w:rPr>
              <w:t>.</w:t>
            </w:r>
          </w:p>
        </w:tc>
      </w:tr>
    </w:tbl>
    <w:p w14:paraId="7BFDBBEE">
      <w:pPr>
        <w:spacing w:after="0"/>
        <w:jc w:val="both"/>
        <w:rPr>
          <w:rFonts w:ascii="Times New Roman" w:hAnsi="Times New Roman" w:cs="Times New Roman"/>
          <w:sz w:val="20"/>
          <w:szCs w:val="20"/>
        </w:rPr>
      </w:pPr>
      <w:r>
        <w:rPr>
          <w:rFonts w:ascii="Times New Roman" w:hAnsi="Times New Roman" w:cs="Times New Roman"/>
          <w:color w:val="000000"/>
          <w:sz w:val="20"/>
          <w:szCs w:val="20"/>
          <w:vertAlign w:val="superscript"/>
          <w:lang w:val="en-US"/>
        </w:rPr>
        <w:t xml:space="preserve"> </w:t>
      </w:r>
    </w:p>
    <w:p w14:paraId="52FFBD7A">
      <w:pPr>
        <w:spacing w:after="0"/>
        <w:jc w:val="both"/>
        <w:rPr>
          <w:rFonts w:ascii="Times New Roman" w:hAnsi="Times New Roman" w:eastAsia="Times New Roman" w:cs="Times New Roman"/>
          <w:sz w:val="20"/>
          <w:szCs w:val="20"/>
        </w:rPr>
      </w:pPr>
      <w:r>
        <w:rPr>
          <w:rFonts w:ascii="Times New Roman" w:hAnsi="Times New Roman" w:cs="Times New Roman"/>
          <w:color w:val="000000"/>
          <w:sz w:val="20"/>
          <w:szCs w:val="20"/>
          <w:lang w:val="en-US"/>
        </w:rPr>
        <w:t>The effect of thorn</w:t>
      </w:r>
      <w:r>
        <w:rPr>
          <w:rFonts w:ascii="Times New Roman" w:hAnsi="Times New Roman" w:eastAsia="Times New Roman" w:cs="Times New Roman"/>
          <w:sz w:val="20"/>
          <w:szCs w:val="20"/>
        </w:rPr>
        <w:t xml:space="preserve"> of organ characteristics of broiler chicken fed different level of thorn apple fruit, leaf and their blend are presented in Table III. There was </w:t>
      </w:r>
      <w:r>
        <w:rPr>
          <w:rFonts w:ascii="Times New Roman" w:hAnsi="Times New Roman" w:cs="Times New Roman"/>
          <w:sz w:val="20"/>
          <w:szCs w:val="20"/>
        </w:rPr>
        <w:t xml:space="preserve">significant (P &lt; 0.05) difference on </w:t>
      </w:r>
      <w:r>
        <w:rPr>
          <w:rFonts w:ascii="Times New Roman" w:hAnsi="Times New Roman" w:eastAsia="Times New Roman" w:cs="Times New Roman"/>
          <w:sz w:val="20"/>
          <w:szCs w:val="20"/>
        </w:rPr>
        <w:t xml:space="preserve">whole gizzard, empty gizzard, proventriculus, kidney, liver, heart, bursa, pancreas, spleen, lungs. There were significant differences (P &lt; 0.05) across the treatments for whole gizzard, empty gizzard, proventriculus, kidney, heart, pancreas, spleen, lungs, while liver and bursa showed no significant </w:t>
      </w:r>
      <w:r>
        <w:rPr>
          <w:rFonts w:ascii="Times New Roman" w:hAnsi="Times New Roman" w:cs="Times New Roman"/>
          <w:sz w:val="20"/>
          <w:szCs w:val="20"/>
        </w:rPr>
        <w:t xml:space="preserve">(P &gt; 0.05) </w:t>
      </w:r>
      <w:r>
        <w:rPr>
          <w:rFonts w:ascii="Times New Roman" w:hAnsi="Times New Roman" w:eastAsia="Times New Roman" w:cs="Times New Roman"/>
          <w:sz w:val="20"/>
          <w:szCs w:val="20"/>
        </w:rPr>
        <w:t xml:space="preserve">differences across the treatments. </w:t>
      </w:r>
    </w:p>
    <w:p w14:paraId="0F6DD60A">
      <w:pPr>
        <w:spacing w:after="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Whole gizzard differed significantly across the treatments. T1 recorded the highest value of 1.53% while T2 and T3 recorded the least values of 1.15%. Whole gizzard values ranged from 1.15% (T2 and T3) to 1.53% (T1). Empty gizzard also differed significantly across the treatments. T1 recorded the highest value of 1.05% while T3 recorded the least value of 0.82%. The values ranged from 0.82% (T3) to 1.05% (T1). </w:t>
      </w:r>
    </w:p>
    <w:p w14:paraId="5C74EA82">
      <w:pPr>
        <w:spacing w:after="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Proventriculus values ranged from 0.19% (T3) to 0.35% (T1), with T1 recording the highest value while T3 recorded the least value. Kidney weight ranged from 0.26% (T4) to 0.36% (T1), while heart weight ranged from 0.31% (T4) to 0.38% (T1). </w:t>
      </w:r>
    </w:p>
    <w:p w14:paraId="3E18977E">
      <w:pPr>
        <w:spacing w:after="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These parameters differed significantly across the treatments. Pancreas weight differed significantly across the treatments with T1 and T2 recording the highest values of 0.16% while T3 recorded the least value of 0.13%. Spleen weight also differed significantly and ranged from 0.06% (T2) to 0.097% (T1). Lung weight differed significantly across the treatments.</w:t>
      </w:r>
    </w:p>
    <w:p w14:paraId="600CE4D9">
      <w:pPr>
        <w:spacing w:after="0"/>
        <w:jc w:val="both"/>
        <w:rPr>
          <w:rFonts w:ascii="Times New Roman" w:hAnsi="Times New Roman" w:eastAsia="Times New Roman" w:cs="Times New Roman"/>
          <w:sz w:val="20"/>
          <w:szCs w:val="20"/>
        </w:rPr>
      </w:pPr>
    </w:p>
    <w:p w14:paraId="184AAAC7">
      <w:pPr>
        <w:spacing w:after="0"/>
        <w:jc w:val="both"/>
        <w:rPr>
          <w:rFonts w:ascii="Times New Roman" w:hAnsi="Times New Roman" w:eastAsia="Times New Roman" w:cs="Times New Roman"/>
          <w:sz w:val="20"/>
          <w:szCs w:val="20"/>
        </w:rPr>
      </w:pPr>
    </w:p>
    <w:p w14:paraId="5D1D158D">
      <w:pPr>
        <w:spacing w:after="0"/>
        <w:jc w:val="both"/>
        <w:rPr>
          <w:rFonts w:ascii="Times New Roman" w:hAnsi="Times New Roman" w:cs="Times New Roman"/>
          <w:sz w:val="20"/>
          <w:szCs w:val="20"/>
        </w:rPr>
      </w:pPr>
    </w:p>
    <w:p w14:paraId="4E7A125C">
      <w:pPr>
        <w:jc w:val="both"/>
        <w:rPr>
          <w:rFonts w:ascii="Times New Roman" w:hAnsi="Times New Roman" w:eastAsia="Times New Roman" w:cs="Times New Roman"/>
          <w:sz w:val="20"/>
          <w:szCs w:val="20"/>
        </w:rPr>
      </w:pPr>
    </w:p>
    <w:p w14:paraId="0FB22184">
      <w:pPr>
        <w:spacing w:after="0"/>
        <w:rPr>
          <w:rFonts w:ascii="Times New Roman" w:hAnsi="Times New Roman" w:cs="Times New Roman"/>
          <w:b/>
          <w:sz w:val="20"/>
          <w:szCs w:val="20"/>
        </w:rPr>
      </w:pPr>
    </w:p>
    <w:p w14:paraId="0D13BDD4">
      <w:pPr>
        <w:spacing w:after="0"/>
        <w:rPr>
          <w:rFonts w:ascii="Times New Roman" w:hAnsi="Times New Roman" w:cs="Times New Roman"/>
          <w:b/>
          <w:sz w:val="20"/>
          <w:szCs w:val="20"/>
        </w:rPr>
      </w:pPr>
    </w:p>
    <w:tbl>
      <w:tblPr>
        <w:tblStyle w:val="4"/>
        <w:tblpPr w:leftFromText="180" w:rightFromText="180" w:vertAnchor="text" w:horzAnchor="margin" w:tblpXSpec="right" w:tblpY="50"/>
        <w:tblW w:w="5363"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8"/>
        <w:gridCol w:w="816"/>
        <w:gridCol w:w="754"/>
        <w:gridCol w:w="697"/>
        <w:gridCol w:w="1069"/>
        <w:gridCol w:w="659"/>
      </w:tblGrid>
      <w:tr w14:paraId="5A56AC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5363" w:type="dxa"/>
            <w:gridSpan w:val="6"/>
            <w:tcBorders>
              <w:top w:val="nil"/>
              <w:bottom w:val="single" w:color="auto" w:sz="4" w:space="0"/>
            </w:tcBorders>
          </w:tcPr>
          <w:p w14:paraId="7416D042">
            <w:pPr>
              <w:spacing w:after="0"/>
              <w:jc w:val="both"/>
              <w:rPr>
                <w:rFonts w:ascii="Times New Roman" w:hAnsi="Times New Roman" w:cs="Times New Roman"/>
                <w:b/>
                <w:bCs/>
                <w:sz w:val="18"/>
                <w:szCs w:val="18"/>
              </w:rPr>
            </w:pPr>
            <w:r>
              <w:rPr>
                <w:rFonts w:ascii="Times New Roman" w:hAnsi="Times New Roman" w:cs="Times New Roman"/>
                <w:b/>
                <w:sz w:val="18"/>
                <w:szCs w:val="18"/>
              </w:rPr>
              <w:t xml:space="preserve">TABLE III: </w:t>
            </w:r>
            <w:r>
              <w:rPr>
                <w:rFonts w:ascii="Times New Roman" w:hAnsi="Times New Roman" w:cs="Times New Roman"/>
                <w:b/>
                <w:bCs/>
                <w:sz w:val="18"/>
                <w:szCs w:val="18"/>
              </w:rPr>
              <w:t xml:space="preserve">ORGAN CHARACTERISTICS OF BROILER CHICKEN FED DIETS CONTAINING VARYING LEVEL OF THORN APPLE FRUIT, LEAF AND THEIR BLEND </w:t>
            </w:r>
          </w:p>
        </w:tc>
      </w:tr>
      <w:tr w14:paraId="3B2A7B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368" w:type="dxa"/>
            <w:tcBorders>
              <w:top w:val="single" w:color="auto" w:sz="4" w:space="0"/>
              <w:bottom w:val="single" w:color="auto" w:sz="4" w:space="0"/>
            </w:tcBorders>
          </w:tcPr>
          <w:p w14:paraId="2C878BA1">
            <w:pPr>
              <w:rPr>
                <w:rFonts w:ascii="Times New Roman" w:hAnsi="Times New Roman" w:eastAsia="SimSun" w:cs="Times New Roman"/>
                <w:b/>
                <w:sz w:val="18"/>
                <w:szCs w:val="18"/>
              </w:rPr>
            </w:pPr>
            <w:r>
              <w:rPr>
                <w:rFonts w:ascii="Times New Roman" w:hAnsi="Times New Roman" w:eastAsia="SimSun" w:cs="Times New Roman"/>
                <w:b/>
                <w:sz w:val="18"/>
                <w:szCs w:val="18"/>
              </w:rPr>
              <w:t>Parameters (%)</w:t>
            </w:r>
          </w:p>
        </w:tc>
        <w:tc>
          <w:tcPr>
            <w:tcW w:w="816" w:type="dxa"/>
            <w:tcBorders>
              <w:top w:val="single" w:color="auto" w:sz="4" w:space="0"/>
              <w:bottom w:val="single" w:color="auto" w:sz="4" w:space="0"/>
            </w:tcBorders>
          </w:tcPr>
          <w:p w14:paraId="04509856">
            <w:pPr>
              <w:jc w:val="center"/>
              <w:rPr>
                <w:rFonts w:ascii="Times New Roman" w:hAnsi="Times New Roman" w:eastAsia="SimSun" w:cs="Times New Roman"/>
                <w:b/>
                <w:sz w:val="18"/>
                <w:szCs w:val="18"/>
              </w:rPr>
            </w:pPr>
            <w:r>
              <w:rPr>
                <w:rFonts w:ascii="Times New Roman" w:hAnsi="Times New Roman" w:eastAsia="SimSun" w:cs="Times New Roman"/>
                <w:b/>
                <w:sz w:val="18"/>
                <w:szCs w:val="18"/>
              </w:rPr>
              <w:t>Control</w:t>
            </w:r>
          </w:p>
        </w:tc>
        <w:tc>
          <w:tcPr>
            <w:tcW w:w="754" w:type="dxa"/>
            <w:tcBorders>
              <w:top w:val="single" w:color="auto" w:sz="4" w:space="0"/>
              <w:bottom w:val="single" w:color="auto" w:sz="4" w:space="0"/>
            </w:tcBorders>
          </w:tcPr>
          <w:p w14:paraId="3E8DEBED">
            <w:pPr>
              <w:jc w:val="center"/>
              <w:rPr>
                <w:rFonts w:ascii="Times New Roman" w:hAnsi="Times New Roman" w:eastAsia="SimSun" w:cs="Times New Roman"/>
                <w:b/>
                <w:sz w:val="18"/>
                <w:szCs w:val="18"/>
              </w:rPr>
            </w:pPr>
            <w:r>
              <w:rPr>
                <w:rFonts w:ascii="Times New Roman" w:hAnsi="Times New Roman" w:eastAsia="SimSun" w:cs="Times New Roman"/>
                <w:b/>
                <w:sz w:val="18"/>
                <w:szCs w:val="18"/>
              </w:rPr>
              <w:t>Fruit</w:t>
            </w:r>
          </w:p>
        </w:tc>
        <w:tc>
          <w:tcPr>
            <w:tcW w:w="697" w:type="dxa"/>
            <w:tcBorders>
              <w:top w:val="single" w:color="auto" w:sz="4" w:space="0"/>
              <w:bottom w:val="single" w:color="auto" w:sz="4" w:space="0"/>
            </w:tcBorders>
          </w:tcPr>
          <w:p w14:paraId="46B67664">
            <w:pPr>
              <w:rPr>
                <w:rFonts w:ascii="Times New Roman" w:hAnsi="Times New Roman" w:eastAsia="SimSun" w:cs="Times New Roman"/>
                <w:b/>
                <w:sz w:val="18"/>
                <w:szCs w:val="18"/>
              </w:rPr>
            </w:pPr>
            <w:r>
              <w:rPr>
                <w:rFonts w:ascii="Times New Roman" w:hAnsi="Times New Roman" w:eastAsia="SimSun" w:cs="Times New Roman"/>
                <w:b/>
                <w:sz w:val="18"/>
                <w:szCs w:val="18"/>
              </w:rPr>
              <w:t>Leaf</w:t>
            </w:r>
          </w:p>
        </w:tc>
        <w:tc>
          <w:tcPr>
            <w:tcW w:w="1069" w:type="dxa"/>
            <w:tcBorders>
              <w:top w:val="single" w:color="auto" w:sz="4" w:space="0"/>
              <w:bottom w:val="single" w:color="auto" w:sz="4" w:space="0"/>
            </w:tcBorders>
          </w:tcPr>
          <w:p w14:paraId="22E29988">
            <w:pPr>
              <w:jc w:val="center"/>
              <w:rPr>
                <w:rFonts w:ascii="Times New Roman" w:hAnsi="Times New Roman" w:eastAsia="SimSun" w:cs="Times New Roman"/>
                <w:b/>
                <w:sz w:val="18"/>
                <w:szCs w:val="18"/>
              </w:rPr>
            </w:pPr>
            <w:r>
              <w:rPr>
                <w:rFonts w:ascii="Times New Roman" w:hAnsi="Times New Roman" w:eastAsia="SimSun" w:cs="Times New Roman"/>
                <w:b/>
                <w:sz w:val="18"/>
                <w:szCs w:val="18"/>
              </w:rPr>
              <w:t>Leaf+Fruit</w:t>
            </w:r>
          </w:p>
        </w:tc>
        <w:tc>
          <w:tcPr>
            <w:tcW w:w="659" w:type="dxa"/>
            <w:tcBorders>
              <w:top w:val="single" w:color="auto" w:sz="4" w:space="0"/>
              <w:bottom w:val="single" w:color="auto" w:sz="4" w:space="0"/>
            </w:tcBorders>
          </w:tcPr>
          <w:p w14:paraId="5D866F08">
            <w:pPr>
              <w:jc w:val="center"/>
              <w:rPr>
                <w:rFonts w:ascii="Times New Roman" w:hAnsi="Times New Roman" w:eastAsia="SimSun" w:cs="Times New Roman"/>
                <w:b/>
                <w:sz w:val="18"/>
                <w:szCs w:val="18"/>
              </w:rPr>
            </w:pPr>
            <w:r>
              <w:rPr>
                <w:rFonts w:ascii="Times New Roman" w:hAnsi="Times New Roman" w:eastAsia="SimSun" w:cs="Times New Roman"/>
                <w:b/>
                <w:sz w:val="18"/>
                <w:szCs w:val="18"/>
              </w:rPr>
              <w:t>SEM</w:t>
            </w:r>
          </w:p>
        </w:tc>
      </w:tr>
      <w:tr w14:paraId="34733B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68" w:type="dxa"/>
            <w:tcBorders>
              <w:top w:val="single" w:color="auto" w:sz="4" w:space="0"/>
              <w:bottom w:val="nil"/>
            </w:tcBorders>
          </w:tcPr>
          <w:p w14:paraId="10B73839">
            <w:pPr>
              <w:spacing w:after="0"/>
              <w:rPr>
                <w:rFonts w:ascii="Times New Roman" w:hAnsi="Times New Roman" w:cs="Times New Roman"/>
                <w:bCs/>
                <w:sz w:val="18"/>
                <w:szCs w:val="18"/>
              </w:rPr>
            </w:pPr>
            <w:r>
              <w:rPr>
                <w:rFonts w:ascii="Times New Roman" w:hAnsi="Times New Roman" w:cs="Times New Roman"/>
                <w:bCs/>
                <w:sz w:val="18"/>
                <w:szCs w:val="18"/>
              </w:rPr>
              <w:t>Whole gizzard</w:t>
            </w:r>
          </w:p>
        </w:tc>
        <w:tc>
          <w:tcPr>
            <w:tcW w:w="816" w:type="dxa"/>
            <w:tcBorders>
              <w:top w:val="single" w:color="auto" w:sz="4" w:space="0"/>
              <w:bottom w:val="nil"/>
            </w:tcBorders>
          </w:tcPr>
          <w:p w14:paraId="7844B978">
            <w:pPr>
              <w:spacing w:after="0"/>
              <w:rPr>
                <w:rFonts w:ascii="Times New Roman" w:hAnsi="Times New Roman" w:cs="Times New Roman"/>
                <w:sz w:val="18"/>
                <w:szCs w:val="18"/>
              </w:rPr>
            </w:pPr>
            <w:r>
              <w:rPr>
                <w:rFonts w:ascii="Times New Roman" w:hAnsi="Times New Roman" w:cs="Times New Roman"/>
                <w:sz w:val="18"/>
                <w:szCs w:val="18"/>
              </w:rPr>
              <w:t>1.53</w:t>
            </w:r>
            <w:r>
              <w:rPr>
                <w:rFonts w:ascii="Times New Roman" w:hAnsi="Times New Roman" w:cs="Times New Roman"/>
                <w:sz w:val="18"/>
                <w:szCs w:val="18"/>
                <w:vertAlign w:val="superscript"/>
              </w:rPr>
              <w:t>ab</w:t>
            </w:r>
          </w:p>
        </w:tc>
        <w:tc>
          <w:tcPr>
            <w:tcW w:w="754" w:type="dxa"/>
            <w:tcBorders>
              <w:top w:val="single" w:color="auto" w:sz="4" w:space="0"/>
              <w:bottom w:val="nil"/>
            </w:tcBorders>
          </w:tcPr>
          <w:p w14:paraId="173F3A60">
            <w:pPr>
              <w:spacing w:after="0"/>
              <w:rPr>
                <w:rFonts w:ascii="Times New Roman" w:hAnsi="Times New Roman" w:cs="Times New Roman"/>
                <w:sz w:val="18"/>
                <w:szCs w:val="18"/>
              </w:rPr>
            </w:pPr>
            <w:r>
              <w:rPr>
                <w:rFonts w:ascii="Times New Roman" w:hAnsi="Times New Roman" w:cs="Times New Roman"/>
                <w:sz w:val="18"/>
                <w:szCs w:val="18"/>
              </w:rPr>
              <w:t>1.15</w:t>
            </w:r>
            <w:r>
              <w:rPr>
                <w:rFonts w:ascii="Times New Roman" w:hAnsi="Times New Roman" w:cs="Times New Roman"/>
                <w:sz w:val="18"/>
                <w:szCs w:val="18"/>
                <w:vertAlign w:val="superscript"/>
              </w:rPr>
              <w:t>b</w:t>
            </w:r>
          </w:p>
        </w:tc>
        <w:tc>
          <w:tcPr>
            <w:tcW w:w="697" w:type="dxa"/>
            <w:tcBorders>
              <w:top w:val="single" w:color="auto" w:sz="4" w:space="0"/>
              <w:bottom w:val="nil"/>
            </w:tcBorders>
          </w:tcPr>
          <w:p w14:paraId="5955EEE0">
            <w:pPr>
              <w:spacing w:after="0"/>
              <w:rPr>
                <w:rFonts w:ascii="Times New Roman" w:hAnsi="Times New Roman" w:cs="Times New Roman"/>
                <w:sz w:val="18"/>
                <w:szCs w:val="18"/>
              </w:rPr>
            </w:pPr>
            <w:r>
              <w:rPr>
                <w:rFonts w:ascii="Times New Roman" w:hAnsi="Times New Roman" w:cs="Times New Roman"/>
                <w:sz w:val="18"/>
                <w:szCs w:val="18"/>
              </w:rPr>
              <w:t>1.15</w:t>
            </w:r>
            <w:r>
              <w:rPr>
                <w:rFonts w:ascii="Times New Roman" w:hAnsi="Times New Roman" w:cs="Times New Roman"/>
                <w:sz w:val="18"/>
                <w:szCs w:val="18"/>
                <w:vertAlign w:val="superscript"/>
              </w:rPr>
              <w:t>b</w:t>
            </w:r>
          </w:p>
        </w:tc>
        <w:tc>
          <w:tcPr>
            <w:tcW w:w="1069" w:type="dxa"/>
            <w:tcBorders>
              <w:top w:val="single" w:color="auto" w:sz="4" w:space="0"/>
              <w:bottom w:val="nil"/>
            </w:tcBorders>
          </w:tcPr>
          <w:p w14:paraId="04C4D950">
            <w:pPr>
              <w:spacing w:after="0"/>
              <w:rPr>
                <w:rFonts w:ascii="Times New Roman" w:hAnsi="Times New Roman" w:cs="Times New Roman"/>
                <w:sz w:val="18"/>
                <w:szCs w:val="18"/>
              </w:rPr>
            </w:pPr>
            <w:r>
              <w:rPr>
                <w:rFonts w:ascii="Times New Roman" w:hAnsi="Times New Roman" w:cs="Times New Roman"/>
                <w:sz w:val="18"/>
                <w:szCs w:val="18"/>
              </w:rPr>
              <w:t>1.26</w:t>
            </w:r>
            <w:r>
              <w:rPr>
                <w:rFonts w:ascii="Times New Roman" w:hAnsi="Times New Roman" w:cs="Times New Roman"/>
                <w:sz w:val="18"/>
                <w:szCs w:val="18"/>
                <w:vertAlign w:val="superscript"/>
              </w:rPr>
              <w:t>a</w:t>
            </w:r>
          </w:p>
        </w:tc>
        <w:tc>
          <w:tcPr>
            <w:tcW w:w="659" w:type="dxa"/>
            <w:tcBorders>
              <w:top w:val="single" w:color="auto" w:sz="4" w:space="0"/>
              <w:bottom w:val="nil"/>
            </w:tcBorders>
          </w:tcPr>
          <w:p w14:paraId="7C8ED9EF">
            <w:pPr>
              <w:spacing w:after="0"/>
              <w:rPr>
                <w:rFonts w:ascii="Times New Roman" w:hAnsi="Times New Roman" w:cs="Times New Roman"/>
                <w:sz w:val="18"/>
                <w:szCs w:val="18"/>
              </w:rPr>
            </w:pPr>
            <w:r>
              <w:rPr>
                <w:rFonts w:ascii="Times New Roman" w:hAnsi="Times New Roman" w:cs="Times New Roman"/>
                <w:sz w:val="18"/>
                <w:szCs w:val="18"/>
              </w:rPr>
              <w:t>0.70</w:t>
            </w:r>
          </w:p>
        </w:tc>
      </w:tr>
      <w:tr w14:paraId="48B20E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1368" w:type="dxa"/>
            <w:tcBorders>
              <w:top w:val="nil"/>
            </w:tcBorders>
          </w:tcPr>
          <w:p w14:paraId="125A51FF">
            <w:pPr>
              <w:spacing w:after="0"/>
              <w:rPr>
                <w:rFonts w:ascii="Times New Roman" w:hAnsi="Times New Roman" w:cs="Times New Roman"/>
                <w:bCs/>
                <w:sz w:val="18"/>
                <w:szCs w:val="18"/>
              </w:rPr>
            </w:pPr>
            <w:r>
              <w:rPr>
                <w:rFonts w:ascii="Times New Roman" w:hAnsi="Times New Roman" w:cs="Times New Roman"/>
                <w:bCs/>
                <w:sz w:val="18"/>
                <w:szCs w:val="18"/>
              </w:rPr>
              <w:t>Empty gizzard</w:t>
            </w:r>
          </w:p>
        </w:tc>
        <w:tc>
          <w:tcPr>
            <w:tcW w:w="816" w:type="dxa"/>
            <w:tcBorders>
              <w:top w:val="nil"/>
            </w:tcBorders>
          </w:tcPr>
          <w:p w14:paraId="7A6F0430">
            <w:pPr>
              <w:spacing w:after="0"/>
              <w:rPr>
                <w:rFonts w:ascii="Times New Roman" w:hAnsi="Times New Roman" w:cs="Times New Roman"/>
                <w:sz w:val="18"/>
                <w:szCs w:val="18"/>
              </w:rPr>
            </w:pPr>
            <w:r>
              <w:rPr>
                <w:rFonts w:ascii="Times New Roman" w:hAnsi="Times New Roman" w:cs="Times New Roman"/>
                <w:sz w:val="18"/>
                <w:szCs w:val="18"/>
              </w:rPr>
              <w:t>1.05</w:t>
            </w:r>
            <w:r>
              <w:rPr>
                <w:rFonts w:ascii="Times New Roman" w:hAnsi="Times New Roman" w:cs="Times New Roman"/>
                <w:sz w:val="18"/>
                <w:szCs w:val="18"/>
                <w:vertAlign w:val="superscript"/>
              </w:rPr>
              <w:t>ab</w:t>
            </w:r>
          </w:p>
        </w:tc>
        <w:tc>
          <w:tcPr>
            <w:tcW w:w="754" w:type="dxa"/>
            <w:tcBorders>
              <w:top w:val="nil"/>
            </w:tcBorders>
          </w:tcPr>
          <w:p w14:paraId="64512AD6">
            <w:pPr>
              <w:spacing w:after="0"/>
              <w:rPr>
                <w:rFonts w:ascii="Times New Roman" w:hAnsi="Times New Roman" w:cs="Times New Roman"/>
                <w:sz w:val="18"/>
                <w:szCs w:val="18"/>
              </w:rPr>
            </w:pPr>
            <w:r>
              <w:rPr>
                <w:rFonts w:ascii="Times New Roman" w:hAnsi="Times New Roman" w:cs="Times New Roman"/>
                <w:sz w:val="18"/>
                <w:szCs w:val="18"/>
              </w:rPr>
              <w:t>0.94</w:t>
            </w:r>
            <w:r>
              <w:rPr>
                <w:rFonts w:ascii="Times New Roman" w:hAnsi="Times New Roman" w:cs="Times New Roman"/>
                <w:sz w:val="18"/>
                <w:szCs w:val="18"/>
                <w:vertAlign w:val="superscript"/>
              </w:rPr>
              <w:t>b</w:t>
            </w:r>
          </w:p>
        </w:tc>
        <w:tc>
          <w:tcPr>
            <w:tcW w:w="697" w:type="dxa"/>
            <w:tcBorders>
              <w:top w:val="nil"/>
            </w:tcBorders>
          </w:tcPr>
          <w:p w14:paraId="485A03F9">
            <w:pPr>
              <w:spacing w:after="0"/>
              <w:rPr>
                <w:rFonts w:ascii="Times New Roman" w:hAnsi="Times New Roman" w:cs="Times New Roman"/>
                <w:sz w:val="18"/>
                <w:szCs w:val="18"/>
              </w:rPr>
            </w:pPr>
            <w:r>
              <w:rPr>
                <w:rFonts w:ascii="Times New Roman" w:hAnsi="Times New Roman" w:cs="Times New Roman"/>
                <w:sz w:val="18"/>
                <w:szCs w:val="18"/>
              </w:rPr>
              <w:t>0.82</w:t>
            </w:r>
            <w:r>
              <w:rPr>
                <w:rFonts w:ascii="Times New Roman" w:hAnsi="Times New Roman" w:cs="Times New Roman"/>
                <w:sz w:val="18"/>
                <w:szCs w:val="18"/>
                <w:vertAlign w:val="superscript"/>
              </w:rPr>
              <w:t>b</w:t>
            </w:r>
          </w:p>
        </w:tc>
        <w:tc>
          <w:tcPr>
            <w:tcW w:w="1069" w:type="dxa"/>
            <w:tcBorders>
              <w:top w:val="nil"/>
            </w:tcBorders>
          </w:tcPr>
          <w:p w14:paraId="4255B6AA">
            <w:pPr>
              <w:spacing w:after="0"/>
              <w:rPr>
                <w:rFonts w:ascii="Times New Roman" w:hAnsi="Times New Roman" w:cs="Times New Roman"/>
                <w:sz w:val="18"/>
                <w:szCs w:val="18"/>
              </w:rPr>
            </w:pPr>
            <w:r>
              <w:rPr>
                <w:rFonts w:ascii="Times New Roman" w:hAnsi="Times New Roman" w:cs="Times New Roman"/>
                <w:sz w:val="18"/>
                <w:szCs w:val="18"/>
              </w:rPr>
              <w:t>0.90</w:t>
            </w:r>
            <w:r>
              <w:rPr>
                <w:rFonts w:ascii="Times New Roman" w:hAnsi="Times New Roman" w:cs="Times New Roman"/>
                <w:sz w:val="18"/>
                <w:szCs w:val="18"/>
                <w:vertAlign w:val="superscript"/>
              </w:rPr>
              <w:t>b</w:t>
            </w:r>
          </w:p>
        </w:tc>
        <w:tc>
          <w:tcPr>
            <w:tcW w:w="659" w:type="dxa"/>
            <w:tcBorders>
              <w:top w:val="nil"/>
            </w:tcBorders>
          </w:tcPr>
          <w:p w14:paraId="266E1EA5">
            <w:pPr>
              <w:spacing w:after="0"/>
              <w:rPr>
                <w:rFonts w:ascii="Times New Roman" w:hAnsi="Times New Roman" w:cs="Times New Roman"/>
                <w:sz w:val="18"/>
                <w:szCs w:val="18"/>
              </w:rPr>
            </w:pPr>
            <w:r>
              <w:rPr>
                <w:rFonts w:ascii="Times New Roman" w:hAnsi="Times New Roman" w:cs="Times New Roman"/>
                <w:sz w:val="18"/>
                <w:szCs w:val="18"/>
              </w:rPr>
              <w:t>0.03</w:t>
            </w:r>
          </w:p>
        </w:tc>
      </w:tr>
      <w:tr w14:paraId="5234DC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368" w:type="dxa"/>
          </w:tcPr>
          <w:p w14:paraId="1AC45070">
            <w:pPr>
              <w:spacing w:after="0"/>
              <w:rPr>
                <w:rFonts w:ascii="Times New Roman" w:hAnsi="Times New Roman" w:cs="Times New Roman"/>
                <w:bCs/>
                <w:sz w:val="18"/>
                <w:szCs w:val="18"/>
              </w:rPr>
            </w:pPr>
            <w:r>
              <w:rPr>
                <w:rFonts w:ascii="Times New Roman" w:hAnsi="Times New Roman" w:cs="Times New Roman"/>
                <w:bCs/>
                <w:sz w:val="18"/>
                <w:szCs w:val="18"/>
              </w:rPr>
              <w:t>Proventiculus</w:t>
            </w:r>
          </w:p>
        </w:tc>
        <w:tc>
          <w:tcPr>
            <w:tcW w:w="816" w:type="dxa"/>
          </w:tcPr>
          <w:p w14:paraId="352C5072">
            <w:pPr>
              <w:spacing w:after="0"/>
              <w:rPr>
                <w:rFonts w:ascii="Times New Roman" w:hAnsi="Times New Roman" w:cs="Times New Roman"/>
                <w:sz w:val="18"/>
                <w:szCs w:val="18"/>
              </w:rPr>
            </w:pPr>
            <w:r>
              <w:rPr>
                <w:rFonts w:ascii="Times New Roman" w:hAnsi="Times New Roman" w:cs="Times New Roman"/>
                <w:sz w:val="18"/>
                <w:szCs w:val="18"/>
              </w:rPr>
              <w:t>0.35</w:t>
            </w:r>
            <w:r>
              <w:rPr>
                <w:rFonts w:ascii="Times New Roman" w:hAnsi="Times New Roman" w:cs="Times New Roman"/>
                <w:sz w:val="18"/>
                <w:szCs w:val="18"/>
                <w:vertAlign w:val="superscript"/>
              </w:rPr>
              <w:t>a</w:t>
            </w:r>
          </w:p>
        </w:tc>
        <w:tc>
          <w:tcPr>
            <w:tcW w:w="754" w:type="dxa"/>
          </w:tcPr>
          <w:p w14:paraId="1B0E4B56">
            <w:pPr>
              <w:spacing w:after="0"/>
              <w:rPr>
                <w:rFonts w:ascii="Times New Roman" w:hAnsi="Times New Roman" w:cs="Times New Roman"/>
                <w:sz w:val="18"/>
                <w:szCs w:val="18"/>
              </w:rPr>
            </w:pPr>
            <w:r>
              <w:rPr>
                <w:rFonts w:ascii="Times New Roman" w:hAnsi="Times New Roman" w:cs="Times New Roman"/>
                <w:sz w:val="18"/>
                <w:szCs w:val="18"/>
              </w:rPr>
              <w:t>0.28</w:t>
            </w:r>
            <w:r>
              <w:rPr>
                <w:rFonts w:ascii="Times New Roman" w:hAnsi="Times New Roman" w:cs="Times New Roman"/>
                <w:sz w:val="18"/>
                <w:szCs w:val="18"/>
                <w:vertAlign w:val="superscript"/>
              </w:rPr>
              <w:t>ab</w:t>
            </w:r>
          </w:p>
        </w:tc>
        <w:tc>
          <w:tcPr>
            <w:tcW w:w="697" w:type="dxa"/>
          </w:tcPr>
          <w:p w14:paraId="18903D66">
            <w:pPr>
              <w:spacing w:after="0"/>
              <w:rPr>
                <w:rFonts w:ascii="Times New Roman" w:hAnsi="Times New Roman" w:cs="Times New Roman"/>
                <w:sz w:val="18"/>
                <w:szCs w:val="18"/>
              </w:rPr>
            </w:pPr>
            <w:r>
              <w:rPr>
                <w:rFonts w:ascii="Times New Roman" w:hAnsi="Times New Roman" w:cs="Times New Roman"/>
                <w:sz w:val="18"/>
                <w:szCs w:val="18"/>
              </w:rPr>
              <w:t>0.19</w:t>
            </w:r>
            <w:r>
              <w:rPr>
                <w:rFonts w:ascii="Times New Roman" w:hAnsi="Times New Roman" w:cs="Times New Roman"/>
                <w:sz w:val="18"/>
                <w:szCs w:val="18"/>
                <w:vertAlign w:val="superscript"/>
              </w:rPr>
              <w:t>b</w:t>
            </w:r>
          </w:p>
        </w:tc>
        <w:tc>
          <w:tcPr>
            <w:tcW w:w="1069" w:type="dxa"/>
          </w:tcPr>
          <w:p w14:paraId="41F5FC31">
            <w:pPr>
              <w:spacing w:after="0"/>
              <w:rPr>
                <w:rFonts w:ascii="Times New Roman" w:hAnsi="Times New Roman" w:cs="Times New Roman"/>
                <w:sz w:val="18"/>
                <w:szCs w:val="18"/>
              </w:rPr>
            </w:pPr>
            <w:r>
              <w:rPr>
                <w:rFonts w:ascii="Times New Roman" w:hAnsi="Times New Roman" w:cs="Times New Roman"/>
                <w:sz w:val="18"/>
                <w:szCs w:val="18"/>
              </w:rPr>
              <w:t>0.32</w:t>
            </w:r>
            <w:r>
              <w:rPr>
                <w:rFonts w:ascii="Times New Roman" w:hAnsi="Times New Roman" w:cs="Times New Roman"/>
                <w:sz w:val="18"/>
                <w:szCs w:val="18"/>
                <w:vertAlign w:val="superscript"/>
              </w:rPr>
              <w:t>a</w:t>
            </w:r>
          </w:p>
        </w:tc>
        <w:tc>
          <w:tcPr>
            <w:tcW w:w="659" w:type="dxa"/>
          </w:tcPr>
          <w:p w14:paraId="1B3F2B53">
            <w:pPr>
              <w:spacing w:after="0"/>
              <w:rPr>
                <w:rFonts w:ascii="Times New Roman" w:hAnsi="Times New Roman" w:cs="Times New Roman"/>
                <w:sz w:val="18"/>
                <w:szCs w:val="18"/>
              </w:rPr>
            </w:pPr>
            <w:r>
              <w:rPr>
                <w:rFonts w:ascii="Times New Roman" w:hAnsi="Times New Roman" w:cs="Times New Roman"/>
                <w:sz w:val="18"/>
                <w:szCs w:val="18"/>
              </w:rPr>
              <w:t>0.01</w:t>
            </w:r>
          </w:p>
        </w:tc>
      </w:tr>
      <w:tr w14:paraId="35A508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368" w:type="dxa"/>
          </w:tcPr>
          <w:p w14:paraId="614BBF16">
            <w:pPr>
              <w:spacing w:after="0"/>
              <w:rPr>
                <w:rFonts w:ascii="Times New Roman" w:hAnsi="Times New Roman" w:cs="Times New Roman"/>
                <w:bCs/>
                <w:sz w:val="18"/>
                <w:szCs w:val="18"/>
              </w:rPr>
            </w:pPr>
            <w:r>
              <w:rPr>
                <w:rFonts w:ascii="Times New Roman" w:hAnsi="Times New Roman" w:cs="Times New Roman"/>
                <w:bCs/>
                <w:sz w:val="18"/>
                <w:szCs w:val="18"/>
              </w:rPr>
              <w:t xml:space="preserve">Kidney </w:t>
            </w:r>
          </w:p>
        </w:tc>
        <w:tc>
          <w:tcPr>
            <w:tcW w:w="816" w:type="dxa"/>
          </w:tcPr>
          <w:p w14:paraId="05E22210">
            <w:pPr>
              <w:spacing w:after="0"/>
              <w:rPr>
                <w:rFonts w:ascii="Times New Roman" w:hAnsi="Times New Roman" w:cs="Times New Roman"/>
                <w:sz w:val="18"/>
                <w:szCs w:val="18"/>
              </w:rPr>
            </w:pPr>
            <w:r>
              <w:rPr>
                <w:rFonts w:ascii="Times New Roman" w:hAnsi="Times New Roman" w:cs="Times New Roman"/>
                <w:sz w:val="18"/>
                <w:szCs w:val="18"/>
              </w:rPr>
              <w:t>O.36</w:t>
            </w:r>
            <w:r>
              <w:rPr>
                <w:rFonts w:ascii="Times New Roman" w:hAnsi="Times New Roman" w:cs="Times New Roman"/>
                <w:sz w:val="18"/>
                <w:szCs w:val="18"/>
                <w:vertAlign w:val="superscript"/>
              </w:rPr>
              <w:t>ab</w:t>
            </w:r>
          </w:p>
        </w:tc>
        <w:tc>
          <w:tcPr>
            <w:tcW w:w="754" w:type="dxa"/>
          </w:tcPr>
          <w:p w14:paraId="520A6AEF">
            <w:pPr>
              <w:spacing w:after="0"/>
              <w:rPr>
                <w:rFonts w:ascii="Times New Roman" w:hAnsi="Times New Roman" w:cs="Times New Roman"/>
                <w:sz w:val="18"/>
                <w:szCs w:val="18"/>
              </w:rPr>
            </w:pPr>
            <w:r>
              <w:rPr>
                <w:rFonts w:ascii="Times New Roman" w:hAnsi="Times New Roman" w:cs="Times New Roman"/>
                <w:sz w:val="18"/>
                <w:szCs w:val="18"/>
              </w:rPr>
              <w:t>0.35</w:t>
            </w:r>
            <w:r>
              <w:rPr>
                <w:rFonts w:ascii="Times New Roman" w:hAnsi="Times New Roman" w:cs="Times New Roman"/>
                <w:sz w:val="18"/>
                <w:szCs w:val="18"/>
                <w:vertAlign w:val="superscript"/>
              </w:rPr>
              <w:t>ab</w:t>
            </w:r>
          </w:p>
        </w:tc>
        <w:tc>
          <w:tcPr>
            <w:tcW w:w="697" w:type="dxa"/>
          </w:tcPr>
          <w:p w14:paraId="61A79F7B">
            <w:pPr>
              <w:spacing w:after="0"/>
              <w:rPr>
                <w:rFonts w:ascii="Times New Roman" w:hAnsi="Times New Roman" w:cs="Times New Roman"/>
                <w:sz w:val="18"/>
                <w:szCs w:val="18"/>
              </w:rPr>
            </w:pPr>
            <w:r>
              <w:rPr>
                <w:rFonts w:ascii="Times New Roman" w:hAnsi="Times New Roman" w:cs="Times New Roman"/>
                <w:sz w:val="18"/>
                <w:szCs w:val="18"/>
              </w:rPr>
              <w:t>0.31</w:t>
            </w:r>
            <w:r>
              <w:rPr>
                <w:rFonts w:ascii="Times New Roman" w:hAnsi="Times New Roman" w:cs="Times New Roman"/>
                <w:sz w:val="18"/>
                <w:szCs w:val="18"/>
                <w:vertAlign w:val="superscript"/>
              </w:rPr>
              <w:t>ab</w:t>
            </w:r>
          </w:p>
        </w:tc>
        <w:tc>
          <w:tcPr>
            <w:tcW w:w="1069" w:type="dxa"/>
          </w:tcPr>
          <w:p w14:paraId="1C28CC00">
            <w:pPr>
              <w:spacing w:after="0"/>
              <w:rPr>
                <w:rFonts w:ascii="Times New Roman" w:hAnsi="Times New Roman" w:cs="Times New Roman"/>
                <w:sz w:val="18"/>
                <w:szCs w:val="18"/>
              </w:rPr>
            </w:pPr>
            <w:r>
              <w:rPr>
                <w:rFonts w:ascii="Times New Roman" w:hAnsi="Times New Roman" w:cs="Times New Roman"/>
                <w:sz w:val="18"/>
                <w:szCs w:val="18"/>
              </w:rPr>
              <w:t>0.26</w:t>
            </w:r>
            <w:r>
              <w:rPr>
                <w:rFonts w:ascii="Times New Roman" w:hAnsi="Times New Roman" w:cs="Times New Roman"/>
                <w:sz w:val="18"/>
                <w:szCs w:val="18"/>
                <w:vertAlign w:val="superscript"/>
              </w:rPr>
              <w:t>b</w:t>
            </w:r>
          </w:p>
        </w:tc>
        <w:tc>
          <w:tcPr>
            <w:tcW w:w="659" w:type="dxa"/>
          </w:tcPr>
          <w:p w14:paraId="34B7535E">
            <w:pPr>
              <w:spacing w:after="0"/>
              <w:rPr>
                <w:rFonts w:ascii="Times New Roman" w:hAnsi="Times New Roman" w:cs="Times New Roman"/>
                <w:sz w:val="18"/>
                <w:szCs w:val="18"/>
              </w:rPr>
            </w:pPr>
            <w:r>
              <w:rPr>
                <w:rFonts w:ascii="Times New Roman" w:hAnsi="Times New Roman" w:cs="Times New Roman"/>
                <w:sz w:val="18"/>
                <w:szCs w:val="18"/>
              </w:rPr>
              <w:t>0.01</w:t>
            </w:r>
          </w:p>
        </w:tc>
      </w:tr>
      <w:tr w14:paraId="61576F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368" w:type="dxa"/>
          </w:tcPr>
          <w:p w14:paraId="4601B1B5">
            <w:pPr>
              <w:spacing w:after="0"/>
              <w:rPr>
                <w:rFonts w:ascii="Times New Roman" w:hAnsi="Times New Roman" w:cs="Times New Roman"/>
                <w:bCs/>
                <w:sz w:val="18"/>
                <w:szCs w:val="18"/>
              </w:rPr>
            </w:pPr>
            <w:r>
              <w:rPr>
                <w:rFonts w:ascii="Times New Roman" w:hAnsi="Times New Roman" w:cs="Times New Roman"/>
                <w:bCs/>
                <w:sz w:val="18"/>
                <w:szCs w:val="18"/>
              </w:rPr>
              <w:t>Liver</w:t>
            </w:r>
          </w:p>
        </w:tc>
        <w:tc>
          <w:tcPr>
            <w:tcW w:w="816" w:type="dxa"/>
          </w:tcPr>
          <w:p w14:paraId="6E48A9CE">
            <w:pPr>
              <w:spacing w:after="0"/>
              <w:rPr>
                <w:rFonts w:ascii="Times New Roman" w:hAnsi="Times New Roman" w:cs="Times New Roman"/>
                <w:sz w:val="18"/>
                <w:szCs w:val="18"/>
              </w:rPr>
            </w:pPr>
            <w:r>
              <w:rPr>
                <w:rFonts w:ascii="Times New Roman" w:hAnsi="Times New Roman" w:cs="Times New Roman"/>
                <w:sz w:val="18"/>
                <w:szCs w:val="18"/>
              </w:rPr>
              <w:t>1.64</w:t>
            </w:r>
          </w:p>
        </w:tc>
        <w:tc>
          <w:tcPr>
            <w:tcW w:w="754" w:type="dxa"/>
          </w:tcPr>
          <w:p w14:paraId="02FA661F">
            <w:pPr>
              <w:spacing w:after="0"/>
              <w:rPr>
                <w:rFonts w:ascii="Times New Roman" w:hAnsi="Times New Roman" w:cs="Times New Roman"/>
                <w:sz w:val="18"/>
                <w:szCs w:val="18"/>
              </w:rPr>
            </w:pPr>
            <w:r>
              <w:rPr>
                <w:rFonts w:ascii="Times New Roman" w:hAnsi="Times New Roman" w:cs="Times New Roman"/>
                <w:sz w:val="18"/>
                <w:szCs w:val="18"/>
              </w:rPr>
              <w:t>1.48</w:t>
            </w:r>
          </w:p>
        </w:tc>
        <w:tc>
          <w:tcPr>
            <w:tcW w:w="697" w:type="dxa"/>
          </w:tcPr>
          <w:p w14:paraId="550B4183">
            <w:pPr>
              <w:spacing w:after="0"/>
              <w:rPr>
                <w:rFonts w:ascii="Times New Roman" w:hAnsi="Times New Roman" w:cs="Times New Roman"/>
                <w:sz w:val="18"/>
                <w:szCs w:val="18"/>
              </w:rPr>
            </w:pPr>
            <w:r>
              <w:rPr>
                <w:rFonts w:ascii="Times New Roman" w:hAnsi="Times New Roman" w:cs="Times New Roman"/>
                <w:sz w:val="18"/>
                <w:szCs w:val="18"/>
              </w:rPr>
              <w:t>1.54</w:t>
            </w:r>
          </w:p>
        </w:tc>
        <w:tc>
          <w:tcPr>
            <w:tcW w:w="1069" w:type="dxa"/>
          </w:tcPr>
          <w:p w14:paraId="599260A5">
            <w:pPr>
              <w:spacing w:after="0"/>
              <w:rPr>
                <w:rFonts w:ascii="Times New Roman" w:hAnsi="Times New Roman" w:cs="Times New Roman"/>
                <w:sz w:val="18"/>
                <w:szCs w:val="18"/>
              </w:rPr>
            </w:pPr>
            <w:r>
              <w:rPr>
                <w:rFonts w:ascii="Times New Roman" w:hAnsi="Times New Roman" w:cs="Times New Roman"/>
                <w:sz w:val="18"/>
                <w:szCs w:val="18"/>
              </w:rPr>
              <w:t>1.49</w:t>
            </w:r>
          </w:p>
        </w:tc>
        <w:tc>
          <w:tcPr>
            <w:tcW w:w="659" w:type="dxa"/>
          </w:tcPr>
          <w:p w14:paraId="3A85B01A">
            <w:pPr>
              <w:spacing w:after="0"/>
              <w:rPr>
                <w:rFonts w:ascii="Times New Roman" w:hAnsi="Times New Roman" w:cs="Times New Roman"/>
                <w:sz w:val="18"/>
                <w:szCs w:val="18"/>
              </w:rPr>
            </w:pPr>
            <w:r>
              <w:rPr>
                <w:rFonts w:ascii="Times New Roman" w:hAnsi="Times New Roman" w:cs="Times New Roman"/>
                <w:sz w:val="18"/>
                <w:szCs w:val="18"/>
              </w:rPr>
              <w:t>0.03</w:t>
            </w:r>
          </w:p>
        </w:tc>
      </w:tr>
      <w:tr w14:paraId="6F12D3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368" w:type="dxa"/>
          </w:tcPr>
          <w:p w14:paraId="6B6CFE72">
            <w:pPr>
              <w:spacing w:after="0"/>
              <w:rPr>
                <w:rFonts w:ascii="Times New Roman" w:hAnsi="Times New Roman" w:cs="Times New Roman"/>
                <w:bCs/>
                <w:sz w:val="18"/>
                <w:szCs w:val="18"/>
              </w:rPr>
            </w:pPr>
            <w:r>
              <w:rPr>
                <w:rFonts w:ascii="Times New Roman" w:hAnsi="Times New Roman" w:cs="Times New Roman"/>
                <w:bCs/>
                <w:sz w:val="18"/>
                <w:szCs w:val="18"/>
              </w:rPr>
              <w:t>Heart</w:t>
            </w:r>
          </w:p>
        </w:tc>
        <w:tc>
          <w:tcPr>
            <w:tcW w:w="816" w:type="dxa"/>
          </w:tcPr>
          <w:p w14:paraId="2609FDC9">
            <w:pPr>
              <w:spacing w:after="0"/>
              <w:rPr>
                <w:rFonts w:ascii="Times New Roman" w:hAnsi="Times New Roman" w:cs="Times New Roman"/>
                <w:sz w:val="18"/>
                <w:szCs w:val="18"/>
              </w:rPr>
            </w:pPr>
            <w:r>
              <w:rPr>
                <w:rFonts w:ascii="Times New Roman" w:hAnsi="Times New Roman" w:cs="Times New Roman"/>
                <w:sz w:val="18"/>
                <w:szCs w:val="18"/>
              </w:rPr>
              <w:t>0.38</w:t>
            </w:r>
            <w:r>
              <w:rPr>
                <w:rFonts w:ascii="Times New Roman" w:hAnsi="Times New Roman" w:cs="Times New Roman"/>
                <w:sz w:val="18"/>
                <w:szCs w:val="18"/>
                <w:vertAlign w:val="superscript"/>
              </w:rPr>
              <w:t>a</w:t>
            </w:r>
          </w:p>
        </w:tc>
        <w:tc>
          <w:tcPr>
            <w:tcW w:w="754" w:type="dxa"/>
          </w:tcPr>
          <w:p w14:paraId="1FF370CA">
            <w:pPr>
              <w:spacing w:after="0"/>
              <w:rPr>
                <w:rFonts w:ascii="Times New Roman" w:hAnsi="Times New Roman" w:cs="Times New Roman"/>
                <w:sz w:val="18"/>
                <w:szCs w:val="18"/>
              </w:rPr>
            </w:pPr>
            <w:r>
              <w:rPr>
                <w:rFonts w:ascii="Times New Roman" w:hAnsi="Times New Roman" w:cs="Times New Roman"/>
                <w:sz w:val="18"/>
                <w:szCs w:val="18"/>
              </w:rPr>
              <w:t>0.33</w:t>
            </w:r>
            <w:r>
              <w:rPr>
                <w:rFonts w:ascii="Times New Roman" w:hAnsi="Times New Roman" w:cs="Times New Roman"/>
                <w:sz w:val="18"/>
                <w:szCs w:val="18"/>
                <w:vertAlign w:val="superscript"/>
              </w:rPr>
              <w:t>ab</w:t>
            </w:r>
          </w:p>
        </w:tc>
        <w:tc>
          <w:tcPr>
            <w:tcW w:w="697" w:type="dxa"/>
          </w:tcPr>
          <w:p w14:paraId="6A0866C2">
            <w:pPr>
              <w:spacing w:after="0"/>
              <w:rPr>
                <w:rFonts w:ascii="Times New Roman" w:hAnsi="Times New Roman" w:cs="Times New Roman"/>
                <w:sz w:val="18"/>
                <w:szCs w:val="18"/>
              </w:rPr>
            </w:pPr>
            <w:r>
              <w:rPr>
                <w:rFonts w:ascii="Times New Roman" w:hAnsi="Times New Roman" w:cs="Times New Roman"/>
                <w:sz w:val="18"/>
                <w:szCs w:val="18"/>
              </w:rPr>
              <w:t>0.33</w:t>
            </w:r>
            <w:r>
              <w:rPr>
                <w:rFonts w:ascii="Times New Roman" w:hAnsi="Times New Roman" w:cs="Times New Roman"/>
                <w:sz w:val="18"/>
                <w:szCs w:val="18"/>
                <w:vertAlign w:val="superscript"/>
              </w:rPr>
              <w:t>ab</w:t>
            </w:r>
          </w:p>
        </w:tc>
        <w:tc>
          <w:tcPr>
            <w:tcW w:w="1069" w:type="dxa"/>
          </w:tcPr>
          <w:p w14:paraId="2C4AD01C">
            <w:pPr>
              <w:spacing w:after="0"/>
              <w:rPr>
                <w:rFonts w:ascii="Times New Roman" w:hAnsi="Times New Roman" w:cs="Times New Roman"/>
                <w:sz w:val="18"/>
                <w:szCs w:val="18"/>
              </w:rPr>
            </w:pPr>
            <w:r>
              <w:rPr>
                <w:rFonts w:ascii="Times New Roman" w:hAnsi="Times New Roman" w:cs="Times New Roman"/>
                <w:sz w:val="18"/>
                <w:szCs w:val="18"/>
              </w:rPr>
              <w:t>0.31</w:t>
            </w:r>
            <w:r>
              <w:rPr>
                <w:rFonts w:ascii="Times New Roman" w:hAnsi="Times New Roman" w:cs="Times New Roman"/>
                <w:sz w:val="18"/>
                <w:szCs w:val="18"/>
                <w:vertAlign w:val="superscript"/>
              </w:rPr>
              <w:t>b</w:t>
            </w:r>
          </w:p>
        </w:tc>
        <w:tc>
          <w:tcPr>
            <w:tcW w:w="659" w:type="dxa"/>
          </w:tcPr>
          <w:p w14:paraId="495CAD76">
            <w:pPr>
              <w:spacing w:after="0"/>
              <w:rPr>
                <w:rFonts w:ascii="Times New Roman" w:hAnsi="Times New Roman" w:cs="Times New Roman"/>
                <w:sz w:val="18"/>
                <w:szCs w:val="18"/>
              </w:rPr>
            </w:pPr>
            <w:r>
              <w:rPr>
                <w:rFonts w:ascii="Times New Roman" w:hAnsi="Times New Roman" w:cs="Times New Roman"/>
                <w:sz w:val="18"/>
                <w:szCs w:val="18"/>
              </w:rPr>
              <w:t>0.00</w:t>
            </w:r>
          </w:p>
        </w:tc>
      </w:tr>
      <w:tr w14:paraId="37AF46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368" w:type="dxa"/>
          </w:tcPr>
          <w:p w14:paraId="06FC6628">
            <w:pPr>
              <w:spacing w:after="0"/>
              <w:rPr>
                <w:rFonts w:ascii="Times New Roman" w:hAnsi="Times New Roman" w:cs="Times New Roman"/>
                <w:bCs/>
                <w:sz w:val="18"/>
                <w:szCs w:val="18"/>
              </w:rPr>
            </w:pPr>
            <w:r>
              <w:rPr>
                <w:rFonts w:ascii="Times New Roman" w:hAnsi="Times New Roman" w:cs="Times New Roman"/>
                <w:bCs/>
                <w:sz w:val="18"/>
                <w:szCs w:val="18"/>
              </w:rPr>
              <w:t>Bursar</w:t>
            </w:r>
          </w:p>
        </w:tc>
        <w:tc>
          <w:tcPr>
            <w:tcW w:w="816" w:type="dxa"/>
          </w:tcPr>
          <w:p w14:paraId="243E5E1F">
            <w:pPr>
              <w:spacing w:after="0"/>
              <w:rPr>
                <w:rFonts w:ascii="Times New Roman" w:hAnsi="Times New Roman" w:cs="Times New Roman"/>
                <w:sz w:val="18"/>
                <w:szCs w:val="18"/>
              </w:rPr>
            </w:pPr>
            <w:r>
              <w:rPr>
                <w:rFonts w:ascii="Times New Roman" w:hAnsi="Times New Roman" w:cs="Times New Roman"/>
                <w:sz w:val="18"/>
                <w:szCs w:val="18"/>
              </w:rPr>
              <w:t>0.04</w:t>
            </w:r>
          </w:p>
        </w:tc>
        <w:tc>
          <w:tcPr>
            <w:tcW w:w="754" w:type="dxa"/>
          </w:tcPr>
          <w:p w14:paraId="1695B6AE">
            <w:pPr>
              <w:spacing w:after="0"/>
              <w:rPr>
                <w:rFonts w:ascii="Times New Roman" w:hAnsi="Times New Roman" w:cs="Times New Roman"/>
                <w:sz w:val="18"/>
                <w:szCs w:val="18"/>
              </w:rPr>
            </w:pPr>
            <w:r>
              <w:rPr>
                <w:rFonts w:ascii="Times New Roman" w:hAnsi="Times New Roman" w:cs="Times New Roman"/>
                <w:sz w:val="18"/>
                <w:szCs w:val="18"/>
              </w:rPr>
              <w:t>0.03</w:t>
            </w:r>
          </w:p>
        </w:tc>
        <w:tc>
          <w:tcPr>
            <w:tcW w:w="697" w:type="dxa"/>
          </w:tcPr>
          <w:p w14:paraId="64C3087D">
            <w:pPr>
              <w:spacing w:after="0"/>
              <w:rPr>
                <w:rFonts w:ascii="Times New Roman" w:hAnsi="Times New Roman" w:cs="Times New Roman"/>
                <w:sz w:val="18"/>
                <w:szCs w:val="18"/>
              </w:rPr>
            </w:pPr>
            <w:r>
              <w:rPr>
                <w:rFonts w:ascii="Times New Roman" w:hAnsi="Times New Roman" w:cs="Times New Roman"/>
                <w:sz w:val="18"/>
                <w:szCs w:val="18"/>
              </w:rPr>
              <w:t>0.34</w:t>
            </w:r>
          </w:p>
        </w:tc>
        <w:tc>
          <w:tcPr>
            <w:tcW w:w="1069" w:type="dxa"/>
          </w:tcPr>
          <w:p w14:paraId="69B49355">
            <w:pPr>
              <w:spacing w:after="0"/>
              <w:rPr>
                <w:rFonts w:ascii="Times New Roman" w:hAnsi="Times New Roman" w:cs="Times New Roman"/>
                <w:sz w:val="18"/>
                <w:szCs w:val="18"/>
              </w:rPr>
            </w:pPr>
            <w:r>
              <w:rPr>
                <w:rFonts w:ascii="Times New Roman" w:hAnsi="Times New Roman" w:cs="Times New Roman"/>
                <w:sz w:val="18"/>
                <w:szCs w:val="18"/>
              </w:rPr>
              <w:t>0.47</w:t>
            </w:r>
          </w:p>
        </w:tc>
        <w:tc>
          <w:tcPr>
            <w:tcW w:w="659" w:type="dxa"/>
          </w:tcPr>
          <w:p w14:paraId="67854668">
            <w:pPr>
              <w:spacing w:after="0"/>
              <w:rPr>
                <w:rFonts w:ascii="Times New Roman" w:hAnsi="Times New Roman" w:cs="Times New Roman"/>
                <w:sz w:val="18"/>
                <w:szCs w:val="18"/>
              </w:rPr>
            </w:pPr>
            <w:r>
              <w:rPr>
                <w:rFonts w:ascii="Times New Roman" w:hAnsi="Times New Roman" w:cs="Times New Roman"/>
                <w:sz w:val="18"/>
                <w:szCs w:val="18"/>
              </w:rPr>
              <w:t>0.00</w:t>
            </w:r>
          </w:p>
        </w:tc>
      </w:tr>
      <w:tr w14:paraId="2091E9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368" w:type="dxa"/>
          </w:tcPr>
          <w:p w14:paraId="3CDAA16F">
            <w:pPr>
              <w:spacing w:after="0"/>
              <w:rPr>
                <w:rFonts w:ascii="Times New Roman" w:hAnsi="Times New Roman" w:cs="Times New Roman"/>
                <w:bCs/>
                <w:sz w:val="18"/>
                <w:szCs w:val="18"/>
              </w:rPr>
            </w:pPr>
            <w:r>
              <w:rPr>
                <w:rFonts w:ascii="Times New Roman" w:hAnsi="Times New Roman" w:cs="Times New Roman"/>
                <w:bCs/>
                <w:sz w:val="18"/>
                <w:szCs w:val="18"/>
              </w:rPr>
              <w:t>Pancreas</w:t>
            </w:r>
          </w:p>
        </w:tc>
        <w:tc>
          <w:tcPr>
            <w:tcW w:w="816" w:type="dxa"/>
          </w:tcPr>
          <w:p w14:paraId="2C1FAC36">
            <w:pPr>
              <w:spacing w:after="0"/>
              <w:rPr>
                <w:rFonts w:ascii="Times New Roman" w:hAnsi="Times New Roman" w:cs="Times New Roman"/>
                <w:sz w:val="18"/>
                <w:szCs w:val="18"/>
              </w:rPr>
            </w:pPr>
            <w:r>
              <w:rPr>
                <w:rFonts w:ascii="Times New Roman" w:hAnsi="Times New Roman" w:cs="Times New Roman"/>
                <w:sz w:val="18"/>
                <w:szCs w:val="18"/>
              </w:rPr>
              <w:t>0.16</w:t>
            </w:r>
            <w:r>
              <w:rPr>
                <w:rFonts w:ascii="Times New Roman" w:hAnsi="Times New Roman" w:cs="Times New Roman"/>
                <w:sz w:val="18"/>
                <w:szCs w:val="18"/>
                <w:vertAlign w:val="superscript"/>
              </w:rPr>
              <w:t>ab</w:t>
            </w:r>
          </w:p>
        </w:tc>
        <w:tc>
          <w:tcPr>
            <w:tcW w:w="754" w:type="dxa"/>
          </w:tcPr>
          <w:p w14:paraId="79B9D974">
            <w:pPr>
              <w:spacing w:after="0"/>
              <w:rPr>
                <w:rFonts w:ascii="Times New Roman" w:hAnsi="Times New Roman" w:cs="Times New Roman"/>
                <w:sz w:val="18"/>
                <w:szCs w:val="18"/>
              </w:rPr>
            </w:pPr>
            <w:r>
              <w:rPr>
                <w:rFonts w:ascii="Times New Roman" w:hAnsi="Times New Roman" w:cs="Times New Roman"/>
                <w:sz w:val="18"/>
                <w:szCs w:val="18"/>
              </w:rPr>
              <w:t>0.16</w:t>
            </w:r>
            <w:r>
              <w:rPr>
                <w:rFonts w:ascii="Times New Roman" w:hAnsi="Times New Roman" w:cs="Times New Roman"/>
                <w:sz w:val="18"/>
                <w:szCs w:val="18"/>
                <w:vertAlign w:val="superscript"/>
              </w:rPr>
              <w:t>abc</w:t>
            </w:r>
          </w:p>
        </w:tc>
        <w:tc>
          <w:tcPr>
            <w:tcW w:w="697" w:type="dxa"/>
          </w:tcPr>
          <w:p w14:paraId="7B7863D2">
            <w:pPr>
              <w:spacing w:after="0"/>
              <w:rPr>
                <w:rFonts w:ascii="Times New Roman" w:hAnsi="Times New Roman" w:cs="Times New Roman"/>
                <w:sz w:val="18"/>
                <w:szCs w:val="18"/>
              </w:rPr>
            </w:pPr>
            <w:r>
              <w:rPr>
                <w:rFonts w:ascii="Times New Roman" w:hAnsi="Times New Roman" w:cs="Times New Roman"/>
                <w:sz w:val="18"/>
                <w:szCs w:val="18"/>
              </w:rPr>
              <w:t>0.13</w:t>
            </w:r>
            <w:r>
              <w:rPr>
                <w:rFonts w:ascii="Times New Roman" w:hAnsi="Times New Roman" w:cs="Times New Roman"/>
                <w:sz w:val="18"/>
                <w:szCs w:val="18"/>
                <w:vertAlign w:val="superscript"/>
              </w:rPr>
              <w:t>c</w:t>
            </w:r>
          </w:p>
        </w:tc>
        <w:tc>
          <w:tcPr>
            <w:tcW w:w="1069" w:type="dxa"/>
          </w:tcPr>
          <w:p w14:paraId="388BFF31">
            <w:pPr>
              <w:spacing w:after="0"/>
              <w:rPr>
                <w:rFonts w:ascii="Times New Roman" w:hAnsi="Times New Roman" w:cs="Times New Roman"/>
                <w:sz w:val="18"/>
                <w:szCs w:val="18"/>
              </w:rPr>
            </w:pPr>
            <w:r>
              <w:rPr>
                <w:rFonts w:ascii="Times New Roman" w:hAnsi="Times New Roman" w:cs="Times New Roman"/>
                <w:sz w:val="18"/>
                <w:szCs w:val="18"/>
              </w:rPr>
              <w:t>0.14</w:t>
            </w:r>
            <w:r>
              <w:rPr>
                <w:rFonts w:ascii="Times New Roman" w:hAnsi="Times New Roman" w:cs="Times New Roman"/>
                <w:sz w:val="18"/>
                <w:szCs w:val="18"/>
                <w:vertAlign w:val="superscript"/>
              </w:rPr>
              <w:t>bc</w:t>
            </w:r>
          </w:p>
        </w:tc>
        <w:tc>
          <w:tcPr>
            <w:tcW w:w="659" w:type="dxa"/>
          </w:tcPr>
          <w:p w14:paraId="2AB36805">
            <w:pPr>
              <w:spacing w:after="0"/>
              <w:rPr>
                <w:rFonts w:ascii="Times New Roman" w:hAnsi="Times New Roman" w:cs="Times New Roman"/>
                <w:sz w:val="18"/>
                <w:szCs w:val="18"/>
              </w:rPr>
            </w:pPr>
            <w:r>
              <w:rPr>
                <w:rFonts w:ascii="Times New Roman" w:hAnsi="Times New Roman" w:cs="Times New Roman"/>
                <w:sz w:val="18"/>
                <w:szCs w:val="18"/>
              </w:rPr>
              <w:t>0.00</w:t>
            </w:r>
          </w:p>
        </w:tc>
      </w:tr>
      <w:tr w14:paraId="2AEC61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368" w:type="dxa"/>
          </w:tcPr>
          <w:p w14:paraId="31F623DC">
            <w:pPr>
              <w:spacing w:after="0"/>
              <w:rPr>
                <w:rFonts w:ascii="Times New Roman" w:hAnsi="Times New Roman" w:cs="Times New Roman"/>
                <w:bCs/>
                <w:sz w:val="18"/>
                <w:szCs w:val="18"/>
              </w:rPr>
            </w:pPr>
            <w:r>
              <w:rPr>
                <w:rFonts w:ascii="Times New Roman" w:hAnsi="Times New Roman" w:cs="Times New Roman"/>
                <w:bCs/>
                <w:sz w:val="18"/>
                <w:szCs w:val="18"/>
              </w:rPr>
              <w:t>Spleen</w:t>
            </w:r>
          </w:p>
        </w:tc>
        <w:tc>
          <w:tcPr>
            <w:tcW w:w="816" w:type="dxa"/>
          </w:tcPr>
          <w:p w14:paraId="67206321">
            <w:pPr>
              <w:spacing w:after="0"/>
              <w:rPr>
                <w:rFonts w:ascii="Times New Roman" w:hAnsi="Times New Roman" w:cs="Times New Roman"/>
                <w:sz w:val="18"/>
                <w:szCs w:val="18"/>
              </w:rPr>
            </w:pPr>
            <w:r>
              <w:rPr>
                <w:rFonts w:ascii="Times New Roman" w:hAnsi="Times New Roman" w:cs="Times New Roman"/>
                <w:sz w:val="18"/>
                <w:szCs w:val="18"/>
              </w:rPr>
              <w:t>0.097</w:t>
            </w:r>
            <w:r>
              <w:rPr>
                <w:rFonts w:ascii="Times New Roman" w:hAnsi="Times New Roman" w:cs="Times New Roman"/>
                <w:sz w:val="18"/>
                <w:szCs w:val="18"/>
                <w:vertAlign w:val="superscript"/>
              </w:rPr>
              <w:t>a</w:t>
            </w:r>
          </w:p>
        </w:tc>
        <w:tc>
          <w:tcPr>
            <w:tcW w:w="754" w:type="dxa"/>
          </w:tcPr>
          <w:p w14:paraId="78AACF9F">
            <w:pPr>
              <w:spacing w:after="0"/>
              <w:rPr>
                <w:rFonts w:ascii="Times New Roman" w:hAnsi="Times New Roman" w:cs="Times New Roman"/>
                <w:sz w:val="18"/>
                <w:szCs w:val="18"/>
              </w:rPr>
            </w:pPr>
            <w:r>
              <w:rPr>
                <w:rFonts w:ascii="Times New Roman" w:hAnsi="Times New Roman" w:cs="Times New Roman"/>
                <w:sz w:val="18"/>
                <w:szCs w:val="18"/>
              </w:rPr>
              <w:t>0.06</w:t>
            </w:r>
            <w:r>
              <w:rPr>
                <w:rFonts w:ascii="Times New Roman" w:hAnsi="Times New Roman" w:cs="Times New Roman"/>
                <w:sz w:val="18"/>
                <w:szCs w:val="18"/>
                <w:vertAlign w:val="superscript"/>
              </w:rPr>
              <w:t>c</w:t>
            </w:r>
          </w:p>
        </w:tc>
        <w:tc>
          <w:tcPr>
            <w:tcW w:w="697" w:type="dxa"/>
          </w:tcPr>
          <w:p w14:paraId="67047000">
            <w:pPr>
              <w:spacing w:after="0"/>
              <w:rPr>
                <w:rFonts w:ascii="Times New Roman" w:hAnsi="Times New Roman" w:cs="Times New Roman"/>
                <w:sz w:val="18"/>
                <w:szCs w:val="18"/>
              </w:rPr>
            </w:pPr>
            <w:r>
              <w:rPr>
                <w:rFonts w:ascii="Times New Roman" w:hAnsi="Times New Roman" w:cs="Times New Roman"/>
                <w:sz w:val="18"/>
                <w:szCs w:val="18"/>
              </w:rPr>
              <w:t>0.08</w:t>
            </w:r>
            <w:r>
              <w:rPr>
                <w:rFonts w:ascii="Times New Roman" w:hAnsi="Times New Roman" w:cs="Times New Roman"/>
                <w:sz w:val="18"/>
                <w:szCs w:val="18"/>
                <w:vertAlign w:val="superscript"/>
              </w:rPr>
              <w:t>ab</w:t>
            </w:r>
          </w:p>
        </w:tc>
        <w:tc>
          <w:tcPr>
            <w:tcW w:w="1069" w:type="dxa"/>
          </w:tcPr>
          <w:p w14:paraId="46207B05">
            <w:pPr>
              <w:spacing w:after="0"/>
              <w:rPr>
                <w:rFonts w:ascii="Times New Roman" w:hAnsi="Times New Roman" w:cs="Times New Roman"/>
                <w:sz w:val="18"/>
                <w:szCs w:val="18"/>
              </w:rPr>
            </w:pPr>
            <w:r>
              <w:rPr>
                <w:rFonts w:ascii="Times New Roman" w:hAnsi="Times New Roman" w:cs="Times New Roman"/>
                <w:sz w:val="18"/>
                <w:szCs w:val="18"/>
              </w:rPr>
              <w:t>0.07</w:t>
            </w:r>
            <w:r>
              <w:rPr>
                <w:rFonts w:ascii="Times New Roman" w:hAnsi="Times New Roman" w:cs="Times New Roman"/>
                <w:sz w:val="18"/>
                <w:szCs w:val="18"/>
                <w:vertAlign w:val="superscript"/>
              </w:rPr>
              <w:t>abc</w:t>
            </w:r>
          </w:p>
        </w:tc>
        <w:tc>
          <w:tcPr>
            <w:tcW w:w="659" w:type="dxa"/>
          </w:tcPr>
          <w:p w14:paraId="467248CB">
            <w:pPr>
              <w:spacing w:after="0"/>
              <w:rPr>
                <w:rFonts w:ascii="Times New Roman" w:hAnsi="Times New Roman" w:cs="Times New Roman"/>
                <w:sz w:val="18"/>
                <w:szCs w:val="18"/>
              </w:rPr>
            </w:pPr>
            <w:r>
              <w:rPr>
                <w:rFonts w:ascii="Times New Roman" w:hAnsi="Times New Roman" w:cs="Times New Roman"/>
                <w:sz w:val="18"/>
                <w:szCs w:val="18"/>
              </w:rPr>
              <w:t>0.00</w:t>
            </w:r>
          </w:p>
        </w:tc>
      </w:tr>
      <w:tr w14:paraId="6B82B5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368" w:type="dxa"/>
            <w:tcBorders>
              <w:bottom w:val="single" w:color="auto" w:sz="4" w:space="0"/>
            </w:tcBorders>
          </w:tcPr>
          <w:p w14:paraId="7EBEF7CE">
            <w:pPr>
              <w:spacing w:after="0"/>
              <w:rPr>
                <w:rFonts w:ascii="Times New Roman" w:hAnsi="Times New Roman" w:cs="Times New Roman"/>
                <w:bCs/>
                <w:sz w:val="18"/>
                <w:szCs w:val="18"/>
              </w:rPr>
            </w:pPr>
            <w:r>
              <w:rPr>
                <w:rFonts w:ascii="Times New Roman" w:hAnsi="Times New Roman" w:cs="Times New Roman"/>
                <w:bCs/>
                <w:sz w:val="18"/>
                <w:szCs w:val="18"/>
              </w:rPr>
              <w:t>Lungs</w:t>
            </w:r>
          </w:p>
        </w:tc>
        <w:tc>
          <w:tcPr>
            <w:tcW w:w="816" w:type="dxa"/>
            <w:tcBorders>
              <w:bottom w:val="single" w:color="auto" w:sz="4" w:space="0"/>
            </w:tcBorders>
          </w:tcPr>
          <w:p w14:paraId="487596CE">
            <w:pPr>
              <w:spacing w:after="0"/>
              <w:rPr>
                <w:rFonts w:ascii="Times New Roman" w:hAnsi="Times New Roman" w:cs="Times New Roman"/>
                <w:sz w:val="18"/>
                <w:szCs w:val="18"/>
              </w:rPr>
            </w:pPr>
            <w:r>
              <w:rPr>
                <w:rFonts w:ascii="Times New Roman" w:hAnsi="Times New Roman" w:cs="Times New Roman"/>
                <w:sz w:val="18"/>
                <w:szCs w:val="18"/>
              </w:rPr>
              <w:t>0.51</w:t>
            </w:r>
            <w:r>
              <w:rPr>
                <w:rFonts w:ascii="Times New Roman" w:hAnsi="Times New Roman" w:cs="Times New Roman"/>
                <w:sz w:val="18"/>
                <w:szCs w:val="18"/>
                <w:vertAlign w:val="superscript"/>
              </w:rPr>
              <w:t>a</w:t>
            </w:r>
          </w:p>
        </w:tc>
        <w:tc>
          <w:tcPr>
            <w:tcW w:w="754" w:type="dxa"/>
            <w:tcBorders>
              <w:bottom w:val="single" w:color="auto" w:sz="4" w:space="0"/>
            </w:tcBorders>
          </w:tcPr>
          <w:p w14:paraId="414C5C31">
            <w:pPr>
              <w:spacing w:after="0"/>
              <w:rPr>
                <w:rFonts w:ascii="Times New Roman" w:hAnsi="Times New Roman" w:cs="Times New Roman"/>
                <w:sz w:val="18"/>
                <w:szCs w:val="18"/>
              </w:rPr>
            </w:pPr>
            <w:r>
              <w:rPr>
                <w:rFonts w:ascii="Times New Roman" w:hAnsi="Times New Roman" w:cs="Times New Roman"/>
                <w:sz w:val="18"/>
                <w:szCs w:val="18"/>
              </w:rPr>
              <w:t>0.42</w:t>
            </w:r>
            <w:r>
              <w:rPr>
                <w:rFonts w:ascii="Times New Roman" w:hAnsi="Times New Roman" w:cs="Times New Roman"/>
                <w:sz w:val="18"/>
                <w:szCs w:val="18"/>
                <w:vertAlign w:val="superscript"/>
              </w:rPr>
              <w:t>ab</w:t>
            </w:r>
          </w:p>
        </w:tc>
        <w:tc>
          <w:tcPr>
            <w:tcW w:w="697" w:type="dxa"/>
            <w:tcBorders>
              <w:bottom w:val="single" w:color="auto" w:sz="4" w:space="0"/>
            </w:tcBorders>
          </w:tcPr>
          <w:p w14:paraId="33AD54E8">
            <w:pPr>
              <w:spacing w:after="0"/>
              <w:rPr>
                <w:rFonts w:ascii="Times New Roman" w:hAnsi="Times New Roman" w:cs="Times New Roman"/>
                <w:sz w:val="18"/>
                <w:szCs w:val="18"/>
              </w:rPr>
            </w:pPr>
            <w:r>
              <w:rPr>
                <w:rFonts w:ascii="Times New Roman" w:hAnsi="Times New Roman" w:cs="Times New Roman"/>
                <w:sz w:val="18"/>
                <w:szCs w:val="18"/>
              </w:rPr>
              <w:t>0.44</w:t>
            </w:r>
            <w:r>
              <w:rPr>
                <w:rFonts w:ascii="Times New Roman" w:hAnsi="Times New Roman" w:cs="Times New Roman"/>
                <w:sz w:val="18"/>
                <w:szCs w:val="18"/>
                <w:vertAlign w:val="superscript"/>
              </w:rPr>
              <w:t>ab</w:t>
            </w:r>
          </w:p>
        </w:tc>
        <w:tc>
          <w:tcPr>
            <w:tcW w:w="1069" w:type="dxa"/>
            <w:tcBorders>
              <w:bottom w:val="single" w:color="auto" w:sz="4" w:space="0"/>
            </w:tcBorders>
          </w:tcPr>
          <w:p w14:paraId="2E934922">
            <w:pPr>
              <w:spacing w:after="0"/>
              <w:rPr>
                <w:rFonts w:ascii="Times New Roman" w:hAnsi="Times New Roman" w:cs="Times New Roman"/>
                <w:sz w:val="18"/>
                <w:szCs w:val="18"/>
              </w:rPr>
            </w:pPr>
            <w:r>
              <w:rPr>
                <w:rFonts w:ascii="Times New Roman" w:hAnsi="Times New Roman" w:cs="Times New Roman"/>
                <w:sz w:val="18"/>
                <w:szCs w:val="18"/>
              </w:rPr>
              <w:t>0.45</w:t>
            </w:r>
            <w:r>
              <w:rPr>
                <w:rFonts w:ascii="Times New Roman" w:hAnsi="Times New Roman" w:cs="Times New Roman"/>
                <w:sz w:val="18"/>
                <w:szCs w:val="18"/>
                <w:vertAlign w:val="superscript"/>
              </w:rPr>
              <w:t>ab</w:t>
            </w:r>
          </w:p>
        </w:tc>
        <w:tc>
          <w:tcPr>
            <w:tcW w:w="659" w:type="dxa"/>
            <w:tcBorders>
              <w:bottom w:val="single" w:color="auto" w:sz="4" w:space="0"/>
            </w:tcBorders>
          </w:tcPr>
          <w:p w14:paraId="75669304">
            <w:pPr>
              <w:spacing w:after="0"/>
              <w:rPr>
                <w:rFonts w:ascii="Times New Roman" w:hAnsi="Times New Roman" w:cs="Times New Roman"/>
                <w:sz w:val="18"/>
                <w:szCs w:val="18"/>
              </w:rPr>
            </w:pPr>
            <w:r>
              <w:rPr>
                <w:rFonts w:ascii="Times New Roman" w:hAnsi="Times New Roman" w:cs="Times New Roman"/>
                <w:sz w:val="18"/>
                <w:szCs w:val="18"/>
              </w:rPr>
              <w:t>0.01</w:t>
            </w:r>
          </w:p>
        </w:tc>
      </w:tr>
      <w:tr w14:paraId="6BBEF4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5363" w:type="dxa"/>
            <w:gridSpan w:val="6"/>
            <w:tcBorders>
              <w:top w:val="single" w:color="auto" w:sz="4" w:space="0"/>
              <w:bottom w:val="nil"/>
            </w:tcBorders>
          </w:tcPr>
          <w:p w14:paraId="2A2A8493">
            <w:pPr>
              <w:spacing w:after="0"/>
              <w:jc w:val="both"/>
              <w:rPr>
                <w:rFonts w:ascii="Times New Roman" w:hAnsi="Times New Roman" w:cs="Times New Roman"/>
                <w:b/>
                <w:sz w:val="18"/>
                <w:szCs w:val="18"/>
              </w:rPr>
            </w:pPr>
            <w:r>
              <w:rPr>
                <w:rFonts w:ascii="Times New Roman" w:hAnsi="Times New Roman" w:cs="Times New Roman"/>
                <w:b/>
                <w:sz w:val="18"/>
                <w:szCs w:val="18"/>
                <w:vertAlign w:val="superscript"/>
              </w:rPr>
              <w:t xml:space="preserve">abc: </w:t>
            </w:r>
            <w:r>
              <w:rPr>
                <w:rFonts w:ascii="Times New Roman" w:hAnsi="Times New Roman" w:cs="Times New Roman"/>
                <w:b/>
                <w:sz w:val="18"/>
                <w:szCs w:val="18"/>
              </w:rPr>
              <w:t xml:space="preserve">Means on the same row with different superscript are significantly(P &gt; 0.05) different. </w:t>
            </w:r>
            <w:r>
              <w:rPr>
                <w:rFonts w:ascii="Times New Roman" w:hAnsi="Times New Roman" w:eastAsia="Times New Roman" w:cs="Times New Roman"/>
                <w:b/>
                <w:sz w:val="18"/>
                <w:szCs w:val="18"/>
              </w:rPr>
              <w:t>T1: Control diet, T2–Thorn apple fruit (2g of fruit per kg of feed), T3–Thorn apple leaf (2g of leaf per kg of feed) and T4–Thorn apple fruit and leaf (1g of fruit and 1g of leaf per kg of feed)</w:t>
            </w:r>
          </w:p>
        </w:tc>
      </w:tr>
    </w:tbl>
    <w:p w14:paraId="487E03F1">
      <w:pPr>
        <w:spacing w:after="0"/>
        <w:jc w:val="both"/>
        <w:rPr>
          <w:rFonts w:ascii="Times New Roman" w:hAnsi="Times New Roman" w:cs="Times New Roman"/>
          <w:bCs/>
          <w:sz w:val="20"/>
          <w:szCs w:val="20"/>
        </w:rPr>
      </w:pPr>
      <w:r>
        <w:rPr>
          <w:rFonts w:ascii="Times New Roman" w:hAnsi="Times New Roman" w:cs="Times New Roman"/>
          <w:sz w:val="20"/>
          <w:szCs w:val="20"/>
        </w:rPr>
        <w:t xml:space="preserve">Effects of thorn apple fruit, leaf and their blend on haematological parameter of broiler chickens are presented in Table IV.  </w:t>
      </w:r>
      <w:r>
        <w:rPr>
          <w:rFonts w:ascii="Times New Roman" w:hAnsi="Times New Roman" w:cs="Times New Roman"/>
          <w:bCs/>
          <w:sz w:val="20"/>
          <w:szCs w:val="20"/>
        </w:rPr>
        <w:t xml:space="preserve">There were significant differences (P&lt;0.05) across the treatments for PCV, HCT, Hb, RBC, MCV, MCH, MCHC, neutrophils, lymphocytes, eosinophils, platelet count, mean platelet volume, platelet distribution width, plateletcrit, AST, ALT and albumin while, WBC, monocytes, basophils, ALP, total protein, globulin and cholesterol showed no significant differences across the treatments. </w:t>
      </w:r>
    </w:p>
    <w:p w14:paraId="7D42B493">
      <w:pPr>
        <w:spacing w:after="0"/>
        <w:jc w:val="both"/>
        <w:rPr>
          <w:rFonts w:ascii="Times New Roman" w:hAnsi="Times New Roman" w:cs="Times New Roman"/>
          <w:bCs/>
          <w:sz w:val="20"/>
          <w:szCs w:val="20"/>
        </w:rPr>
      </w:pPr>
    </w:p>
    <w:p w14:paraId="52A55C65">
      <w:pPr>
        <w:spacing w:after="0"/>
        <w:jc w:val="both"/>
        <w:rPr>
          <w:rFonts w:ascii="Times New Roman" w:hAnsi="Times New Roman" w:cs="Times New Roman"/>
          <w:bCs/>
          <w:sz w:val="20"/>
          <w:szCs w:val="20"/>
        </w:rPr>
      </w:pPr>
    </w:p>
    <w:p w14:paraId="02AD4108">
      <w:pPr>
        <w:spacing w:after="0"/>
        <w:jc w:val="both"/>
        <w:rPr>
          <w:rFonts w:ascii="Times New Roman" w:hAnsi="Times New Roman" w:cs="Times New Roman"/>
          <w:bCs/>
          <w:sz w:val="20"/>
          <w:szCs w:val="20"/>
        </w:rPr>
      </w:pPr>
    </w:p>
    <w:p w14:paraId="5F2508A7">
      <w:pPr>
        <w:spacing w:after="0"/>
        <w:jc w:val="both"/>
        <w:rPr>
          <w:rFonts w:ascii="Times New Roman" w:hAnsi="Times New Roman" w:cs="Times New Roman"/>
          <w:bCs/>
          <w:sz w:val="20"/>
          <w:szCs w:val="20"/>
        </w:rPr>
      </w:pPr>
    </w:p>
    <w:tbl>
      <w:tblPr>
        <w:tblStyle w:val="4"/>
        <w:tblpPr w:leftFromText="180" w:rightFromText="180" w:vertAnchor="page" w:horzAnchor="margin" w:tblpY="1342"/>
        <w:tblW w:w="10213"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27"/>
        <w:gridCol w:w="1550"/>
        <w:gridCol w:w="1439"/>
        <w:gridCol w:w="1550"/>
        <w:gridCol w:w="1998"/>
        <w:gridCol w:w="1149"/>
      </w:tblGrid>
      <w:tr w14:paraId="6896CA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0213" w:type="dxa"/>
            <w:gridSpan w:val="6"/>
            <w:tcBorders>
              <w:top w:val="nil"/>
              <w:bottom w:val="single" w:color="auto" w:sz="4" w:space="0"/>
            </w:tcBorders>
          </w:tcPr>
          <w:p w14:paraId="126E617C">
            <w:pPr>
              <w:spacing w:after="0"/>
              <w:rPr>
                <w:rFonts w:ascii="Times New Roman" w:hAnsi="Times New Roman" w:eastAsia="Calibri"/>
                <w:b/>
                <w:bCs/>
                <w:sz w:val="20"/>
                <w:szCs w:val="20"/>
              </w:rPr>
            </w:pPr>
            <w:r>
              <w:rPr>
                <w:rFonts w:ascii="Times New Roman" w:hAnsi="Times New Roman"/>
                <w:b/>
                <w:sz w:val="20"/>
                <w:szCs w:val="20"/>
              </w:rPr>
              <w:t xml:space="preserve">TABLE IV: </w:t>
            </w:r>
            <w:r>
              <w:rPr>
                <w:rFonts w:ascii="Times New Roman" w:hAnsi="Times New Roman"/>
                <w:b/>
                <w:bCs/>
                <w:sz w:val="20"/>
                <w:szCs w:val="20"/>
              </w:rPr>
              <w:t xml:space="preserve">HAEMATOLOGICAL PARAMETER OF BROILER CHICKENS FED DIETS CONTAINING VARYING LEVEL OF THORN APPLE FRUIT, LEAF AND THEIR BLEND </w:t>
            </w:r>
          </w:p>
        </w:tc>
      </w:tr>
      <w:tr w14:paraId="13D959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527" w:type="dxa"/>
            <w:tcBorders>
              <w:top w:val="single" w:color="auto" w:sz="4" w:space="0"/>
              <w:bottom w:val="single" w:color="auto" w:sz="4" w:space="0"/>
            </w:tcBorders>
          </w:tcPr>
          <w:p w14:paraId="5A0F824D">
            <w:pPr>
              <w:spacing w:after="0"/>
              <w:rPr>
                <w:rFonts w:ascii="Times New Roman" w:hAnsi="Times New Roman" w:eastAsia="SimSun"/>
                <w:b/>
                <w:sz w:val="20"/>
                <w:szCs w:val="20"/>
              </w:rPr>
            </w:pPr>
            <w:r>
              <w:rPr>
                <w:rFonts w:ascii="Times New Roman" w:hAnsi="Times New Roman" w:eastAsia="SimSun"/>
                <w:b/>
                <w:sz w:val="20"/>
                <w:szCs w:val="20"/>
              </w:rPr>
              <w:t>Parameters</w:t>
            </w:r>
          </w:p>
        </w:tc>
        <w:tc>
          <w:tcPr>
            <w:tcW w:w="1550" w:type="dxa"/>
            <w:tcBorders>
              <w:top w:val="single" w:color="auto" w:sz="4" w:space="0"/>
              <w:bottom w:val="single" w:color="auto" w:sz="4" w:space="0"/>
            </w:tcBorders>
          </w:tcPr>
          <w:p w14:paraId="7861D6D1">
            <w:pPr>
              <w:spacing w:after="0"/>
              <w:rPr>
                <w:rFonts w:ascii="Times New Roman" w:hAnsi="Times New Roman" w:eastAsia="SimSun"/>
                <w:b/>
                <w:sz w:val="20"/>
                <w:szCs w:val="20"/>
              </w:rPr>
            </w:pPr>
            <w:r>
              <w:rPr>
                <w:rFonts w:ascii="Times New Roman" w:hAnsi="Times New Roman" w:eastAsia="SimSun"/>
                <w:b/>
                <w:sz w:val="20"/>
                <w:szCs w:val="20"/>
              </w:rPr>
              <w:t>Control</w:t>
            </w:r>
          </w:p>
        </w:tc>
        <w:tc>
          <w:tcPr>
            <w:tcW w:w="1439" w:type="dxa"/>
            <w:tcBorders>
              <w:top w:val="single" w:color="auto" w:sz="4" w:space="0"/>
              <w:bottom w:val="single" w:color="auto" w:sz="4" w:space="0"/>
            </w:tcBorders>
          </w:tcPr>
          <w:p w14:paraId="675FC035">
            <w:pPr>
              <w:spacing w:after="0"/>
              <w:rPr>
                <w:rFonts w:ascii="Times New Roman" w:hAnsi="Times New Roman" w:eastAsia="SimSun"/>
                <w:b/>
                <w:sz w:val="20"/>
                <w:szCs w:val="20"/>
              </w:rPr>
            </w:pPr>
            <w:r>
              <w:rPr>
                <w:rFonts w:ascii="Times New Roman" w:hAnsi="Times New Roman" w:eastAsia="SimSun"/>
                <w:b/>
                <w:sz w:val="20"/>
                <w:szCs w:val="20"/>
              </w:rPr>
              <w:t>Fruit</w:t>
            </w:r>
          </w:p>
        </w:tc>
        <w:tc>
          <w:tcPr>
            <w:tcW w:w="1550" w:type="dxa"/>
            <w:tcBorders>
              <w:top w:val="single" w:color="auto" w:sz="4" w:space="0"/>
              <w:bottom w:val="single" w:color="auto" w:sz="4" w:space="0"/>
            </w:tcBorders>
          </w:tcPr>
          <w:p w14:paraId="11DBD6C4">
            <w:pPr>
              <w:spacing w:after="0"/>
              <w:rPr>
                <w:rFonts w:ascii="Times New Roman" w:hAnsi="Times New Roman" w:eastAsia="SimSun"/>
                <w:b/>
                <w:sz w:val="20"/>
                <w:szCs w:val="20"/>
              </w:rPr>
            </w:pPr>
            <w:r>
              <w:rPr>
                <w:rFonts w:ascii="Times New Roman" w:hAnsi="Times New Roman" w:eastAsia="SimSun"/>
                <w:b/>
                <w:sz w:val="20"/>
                <w:szCs w:val="20"/>
              </w:rPr>
              <w:t>Leaf</w:t>
            </w:r>
          </w:p>
        </w:tc>
        <w:tc>
          <w:tcPr>
            <w:tcW w:w="1998" w:type="dxa"/>
            <w:tcBorders>
              <w:top w:val="single" w:color="auto" w:sz="4" w:space="0"/>
              <w:bottom w:val="single" w:color="auto" w:sz="4" w:space="0"/>
            </w:tcBorders>
          </w:tcPr>
          <w:p w14:paraId="496F9AD2">
            <w:pPr>
              <w:spacing w:after="0"/>
              <w:rPr>
                <w:rFonts w:ascii="Times New Roman" w:hAnsi="Times New Roman" w:eastAsia="SimSun"/>
                <w:b/>
                <w:sz w:val="20"/>
                <w:szCs w:val="20"/>
              </w:rPr>
            </w:pPr>
            <w:r>
              <w:rPr>
                <w:rFonts w:ascii="Times New Roman" w:hAnsi="Times New Roman" w:eastAsia="SimSun"/>
                <w:b/>
                <w:sz w:val="20"/>
                <w:szCs w:val="20"/>
              </w:rPr>
              <w:t>Leaf+Fruit</w:t>
            </w:r>
          </w:p>
        </w:tc>
        <w:tc>
          <w:tcPr>
            <w:tcW w:w="1149" w:type="dxa"/>
            <w:tcBorders>
              <w:top w:val="single" w:color="auto" w:sz="4" w:space="0"/>
              <w:bottom w:val="single" w:color="auto" w:sz="4" w:space="0"/>
            </w:tcBorders>
          </w:tcPr>
          <w:p w14:paraId="2BB1D083">
            <w:pPr>
              <w:spacing w:after="0"/>
              <w:rPr>
                <w:rFonts w:ascii="Times New Roman" w:hAnsi="Times New Roman" w:eastAsia="SimSun"/>
                <w:b/>
                <w:sz w:val="20"/>
                <w:szCs w:val="20"/>
              </w:rPr>
            </w:pPr>
            <w:r>
              <w:rPr>
                <w:rFonts w:ascii="Times New Roman" w:hAnsi="Times New Roman" w:eastAsia="SimSun"/>
                <w:b/>
                <w:sz w:val="20"/>
                <w:szCs w:val="20"/>
              </w:rPr>
              <w:t>SEM</w:t>
            </w:r>
          </w:p>
        </w:tc>
      </w:tr>
      <w:tr w14:paraId="1E27BD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Borders>
              <w:top w:val="single" w:color="auto" w:sz="4" w:space="0"/>
            </w:tcBorders>
          </w:tcPr>
          <w:p w14:paraId="2ADC45F2">
            <w:pPr>
              <w:pStyle w:val="14"/>
              <w:spacing w:before="0" w:beforeAutospacing="0" w:line="276" w:lineRule="auto"/>
              <w:jc w:val="left"/>
              <w:rPr>
                <w:sz w:val="20"/>
                <w:szCs w:val="20"/>
              </w:rPr>
            </w:pPr>
            <w:r>
              <w:rPr>
                <w:sz w:val="20"/>
                <w:szCs w:val="20"/>
              </w:rPr>
              <w:t>PCV (%)</w:t>
            </w:r>
          </w:p>
        </w:tc>
        <w:tc>
          <w:tcPr>
            <w:tcW w:w="1550" w:type="dxa"/>
            <w:tcBorders>
              <w:top w:val="single" w:color="auto" w:sz="4" w:space="0"/>
            </w:tcBorders>
          </w:tcPr>
          <w:p w14:paraId="51CA6A2A">
            <w:pPr>
              <w:spacing w:after="0"/>
              <w:rPr>
                <w:rFonts w:ascii="Times New Roman" w:hAnsi="Times New Roman"/>
                <w:sz w:val="20"/>
                <w:szCs w:val="20"/>
              </w:rPr>
            </w:pPr>
            <w:r>
              <w:rPr>
                <w:rFonts w:ascii="Times New Roman" w:hAnsi="Times New Roman"/>
                <w:sz w:val="20"/>
                <w:szCs w:val="20"/>
              </w:rPr>
              <w:t>22.55</w:t>
            </w:r>
            <w:r>
              <w:rPr>
                <w:rFonts w:ascii="Times New Roman" w:hAnsi="Times New Roman"/>
                <w:sz w:val="20"/>
                <w:szCs w:val="20"/>
                <w:vertAlign w:val="superscript"/>
              </w:rPr>
              <w:t>b</w:t>
            </w:r>
          </w:p>
        </w:tc>
        <w:tc>
          <w:tcPr>
            <w:tcW w:w="1439" w:type="dxa"/>
            <w:tcBorders>
              <w:top w:val="single" w:color="auto" w:sz="4" w:space="0"/>
            </w:tcBorders>
          </w:tcPr>
          <w:p w14:paraId="5F84FA96">
            <w:pPr>
              <w:spacing w:after="0"/>
              <w:rPr>
                <w:rFonts w:ascii="Times New Roman" w:hAnsi="Times New Roman"/>
                <w:sz w:val="20"/>
                <w:szCs w:val="20"/>
              </w:rPr>
            </w:pPr>
            <w:r>
              <w:rPr>
                <w:rFonts w:ascii="Times New Roman" w:hAnsi="Times New Roman"/>
                <w:sz w:val="20"/>
                <w:szCs w:val="20"/>
              </w:rPr>
              <w:t>25.54</w:t>
            </w:r>
            <w:r>
              <w:rPr>
                <w:rFonts w:ascii="Times New Roman" w:hAnsi="Times New Roman"/>
                <w:sz w:val="20"/>
                <w:szCs w:val="20"/>
                <w:vertAlign w:val="superscript"/>
              </w:rPr>
              <w:t>a</w:t>
            </w:r>
          </w:p>
        </w:tc>
        <w:tc>
          <w:tcPr>
            <w:tcW w:w="1550" w:type="dxa"/>
            <w:tcBorders>
              <w:top w:val="single" w:color="auto" w:sz="4" w:space="0"/>
            </w:tcBorders>
          </w:tcPr>
          <w:p w14:paraId="25ADF2D1">
            <w:pPr>
              <w:spacing w:after="0"/>
              <w:rPr>
                <w:rFonts w:ascii="Times New Roman" w:hAnsi="Times New Roman"/>
                <w:sz w:val="20"/>
                <w:szCs w:val="20"/>
              </w:rPr>
            </w:pPr>
            <w:r>
              <w:rPr>
                <w:rFonts w:ascii="Times New Roman" w:hAnsi="Times New Roman"/>
                <w:sz w:val="20"/>
                <w:szCs w:val="20"/>
              </w:rPr>
              <w:t>24.10</w:t>
            </w:r>
            <w:r>
              <w:rPr>
                <w:rFonts w:ascii="Times New Roman" w:hAnsi="Times New Roman"/>
                <w:sz w:val="20"/>
                <w:szCs w:val="20"/>
                <w:vertAlign w:val="superscript"/>
              </w:rPr>
              <w:t>a</w:t>
            </w:r>
          </w:p>
        </w:tc>
        <w:tc>
          <w:tcPr>
            <w:tcW w:w="1998" w:type="dxa"/>
            <w:tcBorders>
              <w:top w:val="single" w:color="auto" w:sz="4" w:space="0"/>
            </w:tcBorders>
          </w:tcPr>
          <w:p w14:paraId="64546F25">
            <w:pPr>
              <w:spacing w:after="0"/>
              <w:rPr>
                <w:rFonts w:ascii="Times New Roman" w:hAnsi="Times New Roman"/>
                <w:sz w:val="20"/>
                <w:szCs w:val="20"/>
              </w:rPr>
            </w:pPr>
            <w:r>
              <w:rPr>
                <w:rFonts w:ascii="Times New Roman" w:hAnsi="Times New Roman"/>
                <w:sz w:val="20"/>
                <w:szCs w:val="20"/>
              </w:rPr>
              <w:t>25.10</w:t>
            </w:r>
            <w:r>
              <w:rPr>
                <w:rFonts w:ascii="Times New Roman" w:hAnsi="Times New Roman"/>
                <w:sz w:val="20"/>
                <w:szCs w:val="20"/>
                <w:vertAlign w:val="superscript"/>
              </w:rPr>
              <w:t>a</w:t>
            </w:r>
          </w:p>
        </w:tc>
        <w:tc>
          <w:tcPr>
            <w:tcW w:w="1149" w:type="dxa"/>
            <w:tcBorders>
              <w:top w:val="single" w:color="auto" w:sz="4" w:space="0"/>
            </w:tcBorders>
          </w:tcPr>
          <w:p w14:paraId="13EEB6AC">
            <w:pPr>
              <w:spacing w:after="0"/>
              <w:rPr>
                <w:rFonts w:ascii="Times New Roman" w:hAnsi="Times New Roman"/>
                <w:sz w:val="20"/>
                <w:szCs w:val="20"/>
              </w:rPr>
            </w:pPr>
            <w:r>
              <w:rPr>
                <w:rFonts w:ascii="Times New Roman" w:hAnsi="Times New Roman"/>
                <w:sz w:val="20"/>
                <w:szCs w:val="20"/>
              </w:rPr>
              <w:t>0.36</w:t>
            </w:r>
          </w:p>
        </w:tc>
      </w:tr>
      <w:tr w14:paraId="004B95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1EB13909">
            <w:pPr>
              <w:pStyle w:val="14"/>
              <w:spacing w:before="0" w:beforeAutospacing="0" w:line="276" w:lineRule="auto"/>
              <w:jc w:val="left"/>
              <w:rPr>
                <w:sz w:val="20"/>
                <w:szCs w:val="20"/>
              </w:rPr>
            </w:pPr>
            <w:r>
              <w:rPr>
                <w:sz w:val="20"/>
                <w:szCs w:val="20"/>
              </w:rPr>
              <w:t>HCT (L/L)</w:t>
            </w:r>
          </w:p>
        </w:tc>
        <w:tc>
          <w:tcPr>
            <w:tcW w:w="1550" w:type="dxa"/>
          </w:tcPr>
          <w:p w14:paraId="29965035">
            <w:pPr>
              <w:spacing w:after="0"/>
              <w:rPr>
                <w:rFonts w:ascii="Times New Roman" w:hAnsi="Times New Roman"/>
                <w:sz w:val="20"/>
                <w:szCs w:val="20"/>
              </w:rPr>
            </w:pPr>
            <w:r>
              <w:rPr>
                <w:rFonts w:ascii="Times New Roman" w:hAnsi="Times New Roman"/>
                <w:sz w:val="20"/>
                <w:szCs w:val="20"/>
              </w:rPr>
              <w:t>0.22</w:t>
            </w:r>
            <w:r>
              <w:rPr>
                <w:rFonts w:ascii="Times New Roman" w:hAnsi="Times New Roman"/>
                <w:sz w:val="20"/>
                <w:szCs w:val="20"/>
                <w:vertAlign w:val="superscript"/>
              </w:rPr>
              <w:t>b</w:t>
            </w:r>
          </w:p>
        </w:tc>
        <w:tc>
          <w:tcPr>
            <w:tcW w:w="1439" w:type="dxa"/>
          </w:tcPr>
          <w:p w14:paraId="62DF02C5">
            <w:pPr>
              <w:spacing w:after="0"/>
              <w:rPr>
                <w:rFonts w:ascii="Times New Roman" w:hAnsi="Times New Roman"/>
                <w:sz w:val="20"/>
                <w:szCs w:val="20"/>
              </w:rPr>
            </w:pPr>
            <w:r>
              <w:rPr>
                <w:rFonts w:ascii="Times New Roman" w:hAnsi="Times New Roman"/>
                <w:sz w:val="20"/>
                <w:szCs w:val="20"/>
              </w:rPr>
              <w:t>0.25</w:t>
            </w:r>
            <w:r>
              <w:rPr>
                <w:rFonts w:ascii="Times New Roman" w:hAnsi="Times New Roman"/>
                <w:sz w:val="20"/>
                <w:szCs w:val="20"/>
                <w:vertAlign w:val="superscript"/>
              </w:rPr>
              <w:t>a</w:t>
            </w:r>
          </w:p>
        </w:tc>
        <w:tc>
          <w:tcPr>
            <w:tcW w:w="1550" w:type="dxa"/>
          </w:tcPr>
          <w:p w14:paraId="2F9A3430">
            <w:pPr>
              <w:spacing w:after="0"/>
              <w:rPr>
                <w:rFonts w:ascii="Times New Roman" w:hAnsi="Times New Roman"/>
                <w:sz w:val="20"/>
                <w:szCs w:val="20"/>
              </w:rPr>
            </w:pPr>
            <w:r>
              <w:rPr>
                <w:rFonts w:ascii="Times New Roman" w:hAnsi="Times New Roman"/>
                <w:sz w:val="20"/>
                <w:szCs w:val="20"/>
              </w:rPr>
              <w:t>0.24</w:t>
            </w:r>
            <w:r>
              <w:rPr>
                <w:rFonts w:ascii="Times New Roman" w:hAnsi="Times New Roman"/>
                <w:sz w:val="20"/>
                <w:szCs w:val="20"/>
                <w:vertAlign w:val="superscript"/>
              </w:rPr>
              <w:t>a</w:t>
            </w:r>
          </w:p>
        </w:tc>
        <w:tc>
          <w:tcPr>
            <w:tcW w:w="1998" w:type="dxa"/>
          </w:tcPr>
          <w:p w14:paraId="71AB5ACB">
            <w:pPr>
              <w:spacing w:after="0"/>
              <w:rPr>
                <w:rFonts w:ascii="Times New Roman" w:hAnsi="Times New Roman"/>
                <w:sz w:val="20"/>
                <w:szCs w:val="20"/>
              </w:rPr>
            </w:pPr>
            <w:r>
              <w:rPr>
                <w:rFonts w:ascii="Times New Roman" w:hAnsi="Times New Roman"/>
                <w:sz w:val="20"/>
                <w:szCs w:val="20"/>
              </w:rPr>
              <w:t>0.25</w:t>
            </w:r>
            <w:r>
              <w:rPr>
                <w:rFonts w:ascii="Times New Roman" w:hAnsi="Times New Roman"/>
                <w:sz w:val="20"/>
                <w:szCs w:val="20"/>
                <w:vertAlign w:val="superscript"/>
              </w:rPr>
              <w:t>a</w:t>
            </w:r>
          </w:p>
        </w:tc>
        <w:tc>
          <w:tcPr>
            <w:tcW w:w="1149" w:type="dxa"/>
          </w:tcPr>
          <w:p w14:paraId="72F00785">
            <w:pPr>
              <w:spacing w:after="0"/>
              <w:rPr>
                <w:rFonts w:ascii="Times New Roman" w:hAnsi="Times New Roman"/>
                <w:sz w:val="20"/>
                <w:szCs w:val="20"/>
              </w:rPr>
            </w:pPr>
            <w:r>
              <w:rPr>
                <w:rFonts w:ascii="Times New Roman" w:hAnsi="Times New Roman"/>
                <w:sz w:val="20"/>
                <w:szCs w:val="20"/>
              </w:rPr>
              <w:t>0.00</w:t>
            </w:r>
          </w:p>
        </w:tc>
      </w:tr>
      <w:tr w14:paraId="3F6CC4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trPr>
        <w:tc>
          <w:tcPr>
            <w:tcW w:w="2527" w:type="dxa"/>
          </w:tcPr>
          <w:p w14:paraId="3ED75000">
            <w:pPr>
              <w:pStyle w:val="14"/>
              <w:spacing w:before="0" w:beforeAutospacing="0" w:line="276" w:lineRule="auto"/>
              <w:jc w:val="left"/>
              <w:rPr>
                <w:sz w:val="20"/>
                <w:szCs w:val="20"/>
              </w:rPr>
            </w:pPr>
            <w:r>
              <w:rPr>
                <w:sz w:val="20"/>
                <w:szCs w:val="20"/>
              </w:rPr>
              <w:t>HB (g/L)</w:t>
            </w:r>
          </w:p>
        </w:tc>
        <w:tc>
          <w:tcPr>
            <w:tcW w:w="1550" w:type="dxa"/>
          </w:tcPr>
          <w:p w14:paraId="4B061E4D">
            <w:pPr>
              <w:spacing w:after="0"/>
              <w:rPr>
                <w:rFonts w:ascii="Times New Roman" w:hAnsi="Times New Roman"/>
                <w:sz w:val="20"/>
                <w:szCs w:val="20"/>
              </w:rPr>
            </w:pPr>
            <w:r>
              <w:rPr>
                <w:rFonts w:ascii="Times New Roman" w:hAnsi="Times New Roman"/>
                <w:sz w:val="20"/>
                <w:szCs w:val="20"/>
              </w:rPr>
              <w:t>7.51</w:t>
            </w:r>
            <w:r>
              <w:rPr>
                <w:rFonts w:ascii="Times New Roman" w:hAnsi="Times New Roman"/>
                <w:sz w:val="20"/>
                <w:szCs w:val="20"/>
                <w:vertAlign w:val="superscript"/>
              </w:rPr>
              <w:t>b</w:t>
            </w:r>
          </w:p>
        </w:tc>
        <w:tc>
          <w:tcPr>
            <w:tcW w:w="1439" w:type="dxa"/>
          </w:tcPr>
          <w:p w14:paraId="7402DAFC">
            <w:pPr>
              <w:spacing w:after="0"/>
              <w:rPr>
                <w:rFonts w:ascii="Times New Roman" w:hAnsi="Times New Roman"/>
                <w:sz w:val="20"/>
                <w:szCs w:val="20"/>
              </w:rPr>
            </w:pPr>
            <w:r>
              <w:rPr>
                <w:rFonts w:ascii="Times New Roman" w:hAnsi="Times New Roman"/>
                <w:sz w:val="20"/>
                <w:szCs w:val="20"/>
              </w:rPr>
              <w:t>8.52</w:t>
            </w:r>
            <w:r>
              <w:rPr>
                <w:rFonts w:ascii="Times New Roman" w:hAnsi="Times New Roman"/>
                <w:sz w:val="20"/>
                <w:szCs w:val="20"/>
                <w:vertAlign w:val="superscript"/>
              </w:rPr>
              <w:t>a</w:t>
            </w:r>
          </w:p>
        </w:tc>
        <w:tc>
          <w:tcPr>
            <w:tcW w:w="1550" w:type="dxa"/>
          </w:tcPr>
          <w:p w14:paraId="606E046A">
            <w:pPr>
              <w:spacing w:after="0"/>
              <w:rPr>
                <w:rFonts w:ascii="Times New Roman" w:hAnsi="Times New Roman"/>
                <w:sz w:val="20"/>
                <w:szCs w:val="20"/>
              </w:rPr>
            </w:pPr>
            <w:r>
              <w:rPr>
                <w:rFonts w:ascii="Times New Roman" w:hAnsi="Times New Roman"/>
                <w:sz w:val="20"/>
                <w:szCs w:val="20"/>
              </w:rPr>
              <w:t>8.03</w:t>
            </w:r>
            <w:r>
              <w:rPr>
                <w:rFonts w:ascii="Times New Roman" w:hAnsi="Times New Roman"/>
                <w:sz w:val="20"/>
                <w:szCs w:val="20"/>
                <w:vertAlign w:val="superscript"/>
              </w:rPr>
              <w:t>ab</w:t>
            </w:r>
          </w:p>
        </w:tc>
        <w:tc>
          <w:tcPr>
            <w:tcW w:w="1998" w:type="dxa"/>
          </w:tcPr>
          <w:p w14:paraId="1C0ED3EF">
            <w:pPr>
              <w:spacing w:after="0"/>
              <w:rPr>
                <w:rFonts w:ascii="Times New Roman" w:hAnsi="Times New Roman"/>
                <w:sz w:val="20"/>
                <w:szCs w:val="20"/>
              </w:rPr>
            </w:pPr>
            <w:r>
              <w:rPr>
                <w:rFonts w:ascii="Times New Roman" w:hAnsi="Times New Roman"/>
                <w:sz w:val="20"/>
                <w:szCs w:val="20"/>
              </w:rPr>
              <w:t>8.33</w:t>
            </w:r>
            <w:r>
              <w:rPr>
                <w:rFonts w:ascii="Times New Roman" w:hAnsi="Times New Roman"/>
                <w:sz w:val="20"/>
                <w:szCs w:val="20"/>
                <w:vertAlign w:val="superscript"/>
              </w:rPr>
              <w:t>a</w:t>
            </w:r>
          </w:p>
        </w:tc>
        <w:tc>
          <w:tcPr>
            <w:tcW w:w="1149" w:type="dxa"/>
          </w:tcPr>
          <w:p w14:paraId="720FA121">
            <w:pPr>
              <w:spacing w:after="0"/>
              <w:rPr>
                <w:rFonts w:ascii="Times New Roman" w:hAnsi="Times New Roman"/>
                <w:sz w:val="20"/>
                <w:szCs w:val="20"/>
              </w:rPr>
            </w:pPr>
            <w:r>
              <w:rPr>
                <w:rFonts w:ascii="Times New Roman" w:hAnsi="Times New Roman"/>
                <w:sz w:val="20"/>
                <w:szCs w:val="20"/>
              </w:rPr>
              <w:t>1.43</w:t>
            </w:r>
          </w:p>
        </w:tc>
      </w:tr>
      <w:tr w14:paraId="2A5051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629AC48D">
            <w:pPr>
              <w:pStyle w:val="14"/>
              <w:spacing w:before="0" w:beforeAutospacing="0" w:line="276" w:lineRule="auto"/>
              <w:jc w:val="left"/>
              <w:rPr>
                <w:sz w:val="20"/>
                <w:szCs w:val="20"/>
              </w:rPr>
            </w:pPr>
            <w:r>
              <w:rPr>
                <w:sz w:val="20"/>
                <w:szCs w:val="20"/>
              </w:rPr>
              <w:t>RBC (X10</w:t>
            </w:r>
            <w:r>
              <w:rPr>
                <w:sz w:val="20"/>
                <w:szCs w:val="20"/>
                <w:vertAlign w:val="superscript"/>
              </w:rPr>
              <w:t>12</w:t>
            </w:r>
            <w:r>
              <w:rPr>
                <w:sz w:val="20"/>
                <w:szCs w:val="20"/>
              </w:rPr>
              <w:t>L)</w:t>
            </w:r>
          </w:p>
        </w:tc>
        <w:tc>
          <w:tcPr>
            <w:tcW w:w="1550" w:type="dxa"/>
          </w:tcPr>
          <w:p w14:paraId="30937E9C">
            <w:pPr>
              <w:spacing w:after="0"/>
              <w:rPr>
                <w:rFonts w:ascii="Times New Roman" w:hAnsi="Times New Roman"/>
                <w:sz w:val="20"/>
                <w:szCs w:val="20"/>
              </w:rPr>
            </w:pPr>
            <w:r>
              <w:rPr>
                <w:rFonts w:ascii="Times New Roman" w:hAnsi="Times New Roman"/>
                <w:sz w:val="20"/>
                <w:szCs w:val="20"/>
              </w:rPr>
              <w:t>1.84</w:t>
            </w:r>
            <w:r>
              <w:rPr>
                <w:rFonts w:ascii="Times New Roman" w:hAnsi="Times New Roman"/>
                <w:sz w:val="20"/>
                <w:szCs w:val="20"/>
                <w:vertAlign w:val="superscript"/>
              </w:rPr>
              <w:t>b</w:t>
            </w:r>
          </w:p>
        </w:tc>
        <w:tc>
          <w:tcPr>
            <w:tcW w:w="1439" w:type="dxa"/>
          </w:tcPr>
          <w:p w14:paraId="1580CD74">
            <w:pPr>
              <w:spacing w:after="0"/>
              <w:rPr>
                <w:rFonts w:ascii="Times New Roman" w:hAnsi="Times New Roman"/>
                <w:sz w:val="20"/>
                <w:szCs w:val="20"/>
              </w:rPr>
            </w:pPr>
            <w:r>
              <w:rPr>
                <w:rFonts w:ascii="Times New Roman" w:hAnsi="Times New Roman"/>
                <w:sz w:val="20"/>
                <w:szCs w:val="20"/>
              </w:rPr>
              <w:t>2.06</w:t>
            </w:r>
            <w:r>
              <w:rPr>
                <w:rFonts w:ascii="Times New Roman" w:hAnsi="Times New Roman"/>
                <w:sz w:val="20"/>
                <w:szCs w:val="20"/>
                <w:vertAlign w:val="superscript"/>
              </w:rPr>
              <w:t>a</w:t>
            </w:r>
          </w:p>
        </w:tc>
        <w:tc>
          <w:tcPr>
            <w:tcW w:w="1550" w:type="dxa"/>
          </w:tcPr>
          <w:p w14:paraId="1EDE31E4">
            <w:pPr>
              <w:spacing w:after="0"/>
              <w:rPr>
                <w:rFonts w:ascii="Times New Roman" w:hAnsi="Times New Roman"/>
                <w:sz w:val="20"/>
                <w:szCs w:val="20"/>
              </w:rPr>
            </w:pPr>
            <w:r>
              <w:rPr>
                <w:rFonts w:ascii="Times New Roman" w:hAnsi="Times New Roman"/>
                <w:sz w:val="20"/>
                <w:szCs w:val="20"/>
              </w:rPr>
              <w:t>2.03</w:t>
            </w:r>
            <w:r>
              <w:rPr>
                <w:rFonts w:ascii="Times New Roman" w:hAnsi="Times New Roman"/>
                <w:sz w:val="20"/>
                <w:szCs w:val="20"/>
                <w:vertAlign w:val="superscript"/>
              </w:rPr>
              <w:t>a</w:t>
            </w:r>
          </w:p>
        </w:tc>
        <w:tc>
          <w:tcPr>
            <w:tcW w:w="1998" w:type="dxa"/>
          </w:tcPr>
          <w:p w14:paraId="44C54110">
            <w:pPr>
              <w:spacing w:after="0"/>
              <w:rPr>
                <w:rFonts w:ascii="Times New Roman" w:hAnsi="Times New Roman"/>
                <w:sz w:val="20"/>
                <w:szCs w:val="20"/>
              </w:rPr>
            </w:pPr>
            <w:r>
              <w:rPr>
                <w:rFonts w:ascii="Times New Roman" w:hAnsi="Times New Roman"/>
                <w:sz w:val="20"/>
                <w:szCs w:val="20"/>
              </w:rPr>
              <w:t>2.02</w:t>
            </w:r>
            <w:r>
              <w:rPr>
                <w:rFonts w:ascii="Times New Roman" w:hAnsi="Times New Roman"/>
                <w:sz w:val="20"/>
                <w:szCs w:val="20"/>
                <w:vertAlign w:val="superscript"/>
              </w:rPr>
              <w:t>a</w:t>
            </w:r>
          </w:p>
        </w:tc>
        <w:tc>
          <w:tcPr>
            <w:tcW w:w="1149" w:type="dxa"/>
          </w:tcPr>
          <w:p w14:paraId="66D82274">
            <w:pPr>
              <w:spacing w:after="0"/>
              <w:rPr>
                <w:rFonts w:ascii="Times New Roman" w:hAnsi="Times New Roman"/>
                <w:sz w:val="20"/>
                <w:szCs w:val="20"/>
              </w:rPr>
            </w:pPr>
            <w:r>
              <w:rPr>
                <w:rFonts w:ascii="Times New Roman" w:hAnsi="Times New Roman"/>
                <w:sz w:val="20"/>
                <w:szCs w:val="20"/>
              </w:rPr>
              <w:t>0.03</w:t>
            </w:r>
          </w:p>
        </w:tc>
      </w:tr>
      <w:tr w14:paraId="61BB81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527" w:type="dxa"/>
          </w:tcPr>
          <w:p w14:paraId="29A2D56A">
            <w:pPr>
              <w:pStyle w:val="14"/>
              <w:spacing w:before="0" w:beforeAutospacing="0" w:line="276" w:lineRule="auto"/>
              <w:jc w:val="left"/>
              <w:rPr>
                <w:sz w:val="20"/>
                <w:szCs w:val="20"/>
              </w:rPr>
            </w:pPr>
            <w:r>
              <w:rPr>
                <w:sz w:val="20"/>
                <w:szCs w:val="20"/>
              </w:rPr>
              <w:t>MCV (FL)</w:t>
            </w:r>
          </w:p>
        </w:tc>
        <w:tc>
          <w:tcPr>
            <w:tcW w:w="1550" w:type="dxa"/>
          </w:tcPr>
          <w:p w14:paraId="0DE99534">
            <w:pPr>
              <w:spacing w:after="0"/>
              <w:rPr>
                <w:rFonts w:ascii="Times New Roman" w:hAnsi="Times New Roman"/>
                <w:sz w:val="20"/>
                <w:szCs w:val="20"/>
              </w:rPr>
            </w:pPr>
            <w:r>
              <w:rPr>
                <w:rFonts w:ascii="Times New Roman" w:hAnsi="Times New Roman"/>
                <w:sz w:val="20"/>
                <w:szCs w:val="20"/>
              </w:rPr>
              <w:t>122.30</w:t>
            </w:r>
            <w:r>
              <w:rPr>
                <w:rFonts w:ascii="Times New Roman" w:hAnsi="Times New Roman"/>
                <w:sz w:val="20"/>
                <w:szCs w:val="20"/>
                <w:vertAlign w:val="superscript"/>
              </w:rPr>
              <w:t>ab</w:t>
            </w:r>
          </w:p>
        </w:tc>
        <w:tc>
          <w:tcPr>
            <w:tcW w:w="1439" w:type="dxa"/>
          </w:tcPr>
          <w:p w14:paraId="65913714">
            <w:pPr>
              <w:spacing w:after="0"/>
              <w:rPr>
                <w:rFonts w:ascii="Times New Roman" w:hAnsi="Times New Roman"/>
                <w:sz w:val="20"/>
                <w:szCs w:val="20"/>
              </w:rPr>
            </w:pPr>
            <w:r>
              <w:rPr>
                <w:rFonts w:ascii="Times New Roman" w:hAnsi="Times New Roman"/>
                <w:sz w:val="20"/>
                <w:szCs w:val="20"/>
              </w:rPr>
              <w:t>123.05</w:t>
            </w:r>
            <w:r>
              <w:rPr>
                <w:rFonts w:ascii="Times New Roman" w:hAnsi="Times New Roman"/>
                <w:sz w:val="20"/>
                <w:szCs w:val="20"/>
                <w:vertAlign w:val="superscript"/>
              </w:rPr>
              <w:t>a</w:t>
            </w:r>
          </w:p>
        </w:tc>
        <w:tc>
          <w:tcPr>
            <w:tcW w:w="1550" w:type="dxa"/>
          </w:tcPr>
          <w:p w14:paraId="43E6A16C">
            <w:pPr>
              <w:spacing w:after="0"/>
              <w:rPr>
                <w:rFonts w:ascii="Times New Roman" w:hAnsi="Times New Roman"/>
                <w:sz w:val="20"/>
                <w:szCs w:val="20"/>
              </w:rPr>
            </w:pPr>
            <w:r>
              <w:rPr>
                <w:rFonts w:ascii="Times New Roman" w:hAnsi="Times New Roman"/>
                <w:sz w:val="20"/>
                <w:szCs w:val="20"/>
              </w:rPr>
              <w:t>118.50</w:t>
            </w:r>
            <w:r>
              <w:rPr>
                <w:rFonts w:ascii="Times New Roman" w:hAnsi="Times New Roman"/>
                <w:sz w:val="20"/>
                <w:szCs w:val="20"/>
                <w:vertAlign w:val="superscript"/>
              </w:rPr>
              <w:t>b</w:t>
            </w:r>
          </w:p>
        </w:tc>
        <w:tc>
          <w:tcPr>
            <w:tcW w:w="1998" w:type="dxa"/>
          </w:tcPr>
          <w:p w14:paraId="69AA61A4">
            <w:pPr>
              <w:spacing w:after="0"/>
              <w:rPr>
                <w:rFonts w:ascii="Times New Roman" w:hAnsi="Times New Roman"/>
                <w:sz w:val="20"/>
                <w:szCs w:val="20"/>
              </w:rPr>
            </w:pPr>
            <w:r>
              <w:rPr>
                <w:rFonts w:ascii="Times New Roman" w:hAnsi="Times New Roman"/>
                <w:sz w:val="20"/>
                <w:szCs w:val="20"/>
              </w:rPr>
              <w:t>123.95</w:t>
            </w:r>
            <w:r>
              <w:rPr>
                <w:rFonts w:ascii="Times New Roman" w:hAnsi="Times New Roman"/>
                <w:sz w:val="20"/>
                <w:szCs w:val="20"/>
                <w:vertAlign w:val="superscript"/>
              </w:rPr>
              <w:t>a</w:t>
            </w:r>
          </w:p>
        </w:tc>
        <w:tc>
          <w:tcPr>
            <w:tcW w:w="1149" w:type="dxa"/>
          </w:tcPr>
          <w:p w14:paraId="3BBF0131">
            <w:pPr>
              <w:spacing w:after="0"/>
              <w:rPr>
                <w:rFonts w:ascii="Times New Roman" w:hAnsi="Times New Roman"/>
                <w:sz w:val="20"/>
                <w:szCs w:val="20"/>
              </w:rPr>
            </w:pPr>
            <w:r>
              <w:rPr>
                <w:rFonts w:ascii="Times New Roman" w:hAnsi="Times New Roman"/>
                <w:sz w:val="20"/>
                <w:szCs w:val="20"/>
              </w:rPr>
              <w:t>0.77</w:t>
            </w:r>
          </w:p>
        </w:tc>
      </w:tr>
      <w:tr w14:paraId="3A7E3C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3FF23BC0">
            <w:pPr>
              <w:pStyle w:val="14"/>
              <w:spacing w:before="0" w:beforeAutospacing="0" w:line="276" w:lineRule="auto"/>
              <w:jc w:val="left"/>
              <w:rPr>
                <w:sz w:val="20"/>
                <w:szCs w:val="20"/>
              </w:rPr>
            </w:pPr>
            <w:r>
              <w:rPr>
                <w:sz w:val="20"/>
                <w:szCs w:val="20"/>
              </w:rPr>
              <w:t>MCH (pg)</w:t>
            </w:r>
          </w:p>
        </w:tc>
        <w:tc>
          <w:tcPr>
            <w:tcW w:w="1550" w:type="dxa"/>
          </w:tcPr>
          <w:p w14:paraId="4F32CF3C">
            <w:pPr>
              <w:spacing w:after="0"/>
              <w:rPr>
                <w:rFonts w:ascii="Times New Roman" w:hAnsi="Times New Roman"/>
                <w:sz w:val="20"/>
                <w:szCs w:val="20"/>
              </w:rPr>
            </w:pPr>
            <w:r>
              <w:rPr>
                <w:rFonts w:ascii="Times New Roman" w:hAnsi="Times New Roman"/>
                <w:sz w:val="20"/>
                <w:szCs w:val="20"/>
              </w:rPr>
              <w:t>60.30</w:t>
            </w:r>
            <w:r>
              <w:rPr>
                <w:rFonts w:ascii="Times New Roman" w:hAnsi="Times New Roman"/>
                <w:sz w:val="20"/>
                <w:szCs w:val="20"/>
                <w:vertAlign w:val="superscript"/>
              </w:rPr>
              <w:t>a</w:t>
            </w:r>
          </w:p>
        </w:tc>
        <w:tc>
          <w:tcPr>
            <w:tcW w:w="1439" w:type="dxa"/>
          </w:tcPr>
          <w:p w14:paraId="20FDEFAC">
            <w:pPr>
              <w:spacing w:after="0"/>
              <w:rPr>
                <w:rFonts w:ascii="Times New Roman" w:hAnsi="Times New Roman"/>
                <w:sz w:val="20"/>
                <w:szCs w:val="20"/>
              </w:rPr>
            </w:pPr>
            <w:r>
              <w:rPr>
                <w:rFonts w:ascii="Times New Roman" w:hAnsi="Times New Roman"/>
                <w:sz w:val="20"/>
                <w:szCs w:val="20"/>
              </w:rPr>
              <w:t>57.80</w:t>
            </w:r>
            <w:r>
              <w:rPr>
                <w:rFonts w:ascii="Times New Roman" w:hAnsi="Times New Roman"/>
                <w:sz w:val="20"/>
                <w:szCs w:val="20"/>
                <w:vertAlign w:val="superscript"/>
              </w:rPr>
              <w:t>b</w:t>
            </w:r>
          </w:p>
        </w:tc>
        <w:tc>
          <w:tcPr>
            <w:tcW w:w="1550" w:type="dxa"/>
          </w:tcPr>
          <w:p w14:paraId="78088BB4">
            <w:pPr>
              <w:spacing w:after="0"/>
              <w:rPr>
                <w:rFonts w:ascii="Times New Roman" w:hAnsi="Times New Roman"/>
                <w:sz w:val="20"/>
                <w:szCs w:val="20"/>
              </w:rPr>
            </w:pPr>
            <w:r>
              <w:rPr>
                <w:rFonts w:ascii="Times New Roman" w:hAnsi="Times New Roman"/>
                <w:sz w:val="20"/>
                <w:szCs w:val="20"/>
              </w:rPr>
              <w:t>57.40</w:t>
            </w:r>
            <w:r>
              <w:rPr>
                <w:rFonts w:ascii="Times New Roman" w:hAnsi="Times New Roman"/>
                <w:sz w:val="20"/>
                <w:szCs w:val="20"/>
                <w:vertAlign w:val="superscript"/>
              </w:rPr>
              <w:t>b</w:t>
            </w:r>
          </w:p>
        </w:tc>
        <w:tc>
          <w:tcPr>
            <w:tcW w:w="1998" w:type="dxa"/>
          </w:tcPr>
          <w:p w14:paraId="7B8416CE">
            <w:pPr>
              <w:spacing w:after="0"/>
              <w:rPr>
                <w:rFonts w:ascii="Times New Roman" w:hAnsi="Times New Roman"/>
                <w:sz w:val="20"/>
                <w:szCs w:val="20"/>
              </w:rPr>
            </w:pPr>
            <w:r>
              <w:rPr>
                <w:rFonts w:ascii="Times New Roman" w:hAnsi="Times New Roman"/>
                <w:sz w:val="20"/>
                <w:szCs w:val="20"/>
              </w:rPr>
              <w:t>59.70</w:t>
            </w:r>
            <w:r>
              <w:rPr>
                <w:rFonts w:ascii="Times New Roman" w:hAnsi="Times New Roman"/>
                <w:sz w:val="20"/>
                <w:szCs w:val="20"/>
                <w:vertAlign w:val="superscript"/>
              </w:rPr>
              <w:t>a</w:t>
            </w:r>
          </w:p>
        </w:tc>
        <w:tc>
          <w:tcPr>
            <w:tcW w:w="1149" w:type="dxa"/>
          </w:tcPr>
          <w:p w14:paraId="1B6CEAF7">
            <w:pPr>
              <w:spacing w:after="0"/>
              <w:rPr>
                <w:rFonts w:ascii="Times New Roman" w:hAnsi="Times New Roman"/>
                <w:sz w:val="20"/>
                <w:szCs w:val="20"/>
              </w:rPr>
            </w:pPr>
            <w:r>
              <w:rPr>
                <w:rFonts w:ascii="Times New Roman" w:hAnsi="Times New Roman"/>
                <w:sz w:val="20"/>
                <w:szCs w:val="20"/>
              </w:rPr>
              <w:t>0.35</w:t>
            </w:r>
          </w:p>
        </w:tc>
      </w:tr>
      <w:tr w14:paraId="4EB948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2527" w:type="dxa"/>
          </w:tcPr>
          <w:p w14:paraId="4C8A3051">
            <w:pPr>
              <w:pStyle w:val="14"/>
              <w:spacing w:before="0" w:beforeAutospacing="0" w:line="276" w:lineRule="auto"/>
              <w:jc w:val="left"/>
              <w:rPr>
                <w:sz w:val="20"/>
                <w:szCs w:val="20"/>
              </w:rPr>
            </w:pPr>
            <w:r>
              <w:rPr>
                <w:sz w:val="20"/>
                <w:szCs w:val="20"/>
              </w:rPr>
              <w:t>MCHC (LgL)</w:t>
            </w:r>
          </w:p>
        </w:tc>
        <w:tc>
          <w:tcPr>
            <w:tcW w:w="1550" w:type="dxa"/>
          </w:tcPr>
          <w:p w14:paraId="12390292">
            <w:pPr>
              <w:spacing w:after="0"/>
              <w:rPr>
                <w:rFonts w:ascii="Times New Roman" w:hAnsi="Times New Roman"/>
                <w:sz w:val="20"/>
                <w:szCs w:val="20"/>
              </w:rPr>
            </w:pPr>
            <w:r>
              <w:rPr>
                <w:rFonts w:ascii="Times New Roman" w:hAnsi="Times New Roman"/>
                <w:sz w:val="20"/>
                <w:szCs w:val="20"/>
              </w:rPr>
              <w:t>34.13</w:t>
            </w:r>
            <w:r>
              <w:rPr>
                <w:rFonts w:ascii="Times New Roman" w:hAnsi="Times New Roman"/>
                <w:sz w:val="20"/>
                <w:szCs w:val="20"/>
                <w:vertAlign w:val="superscript"/>
              </w:rPr>
              <w:t>a</w:t>
            </w:r>
          </w:p>
        </w:tc>
        <w:tc>
          <w:tcPr>
            <w:tcW w:w="1439" w:type="dxa"/>
          </w:tcPr>
          <w:p w14:paraId="1436D992">
            <w:pPr>
              <w:spacing w:after="0"/>
              <w:rPr>
                <w:rFonts w:ascii="Times New Roman" w:hAnsi="Times New Roman"/>
                <w:sz w:val="20"/>
                <w:szCs w:val="20"/>
              </w:rPr>
            </w:pPr>
            <w:r>
              <w:rPr>
                <w:rFonts w:ascii="Times New Roman" w:hAnsi="Times New Roman"/>
                <w:sz w:val="20"/>
                <w:szCs w:val="20"/>
              </w:rPr>
              <w:t>33.35</w:t>
            </w:r>
            <w:r>
              <w:rPr>
                <w:rFonts w:ascii="Times New Roman" w:hAnsi="Times New Roman"/>
                <w:sz w:val="20"/>
                <w:szCs w:val="20"/>
                <w:vertAlign w:val="superscript"/>
              </w:rPr>
              <w:t>c</w:t>
            </w:r>
          </w:p>
        </w:tc>
        <w:tc>
          <w:tcPr>
            <w:tcW w:w="1550" w:type="dxa"/>
          </w:tcPr>
          <w:p w14:paraId="039348F6">
            <w:pPr>
              <w:spacing w:after="0"/>
              <w:rPr>
                <w:rFonts w:ascii="Times New Roman" w:hAnsi="Times New Roman"/>
                <w:sz w:val="20"/>
                <w:szCs w:val="20"/>
              </w:rPr>
            </w:pPr>
            <w:r>
              <w:rPr>
                <w:rFonts w:ascii="Times New Roman" w:hAnsi="Times New Roman"/>
                <w:sz w:val="20"/>
                <w:szCs w:val="20"/>
              </w:rPr>
              <w:t>33.32</w:t>
            </w:r>
            <w:r>
              <w:rPr>
                <w:rFonts w:ascii="Times New Roman" w:hAnsi="Times New Roman"/>
                <w:sz w:val="20"/>
                <w:szCs w:val="20"/>
                <w:vertAlign w:val="superscript"/>
              </w:rPr>
              <w:t>b</w:t>
            </w:r>
          </w:p>
        </w:tc>
        <w:tc>
          <w:tcPr>
            <w:tcW w:w="1998" w:type="dxa"/>
          </w:tcPr>
          <w:p w14:paraId="45D9F427">
            <w:pPr>
              <w:spacing w:after="0"/>
              <w:rPr>
                <w:rFonts w:ascii="Times New Roman" w:hAnsi="Times New Roman"/>
                <w:sz w:val="20"/>
                <w:szCs w:val="20"/>
              </w:rPr>
            </w:pPr>
            <w:r>
              <w:rPr>
                <w:rFonts w:ascii="Times New Roman" w:hAnsi="Times New Roman"/>
                <w:sz w:val="20"/>
                <w:szCs w:val="20"/>
              </w:rPr>
              <w:t>33.19</w:t>
            </w:r>
            <w:r>
              <w:rPr>
                <w:rFonts w:ascii="Times New Roman" w:hAnsi="Times New Roman"/>
                <w:sz w:val="20"/>
                <w:szCs w:val="20"/>
                <w:vertAlign w:val="superscript"/>
              </w:rPr>
              <w:t>b</w:t>
            </w:r>
          </w:p>
        </w:tc>
        <w:tc>
          <w:tcPr>
            <w:tcW w:w="1149" w:type="dxa"/>
          </w:tcPr>
          <w:p w14:paraId="52BC3FC5">
            <w:pPr>
              <w:spacing w:after="0"/>
              <w:rPr>
                <w:rFonts w:ascii="Times New Roman" w:hAnsi="Times New Roman"/>
                <w:sz w:val="20"/>
                <w:szCs w:val="20"/>
              </w:rPr>
            </w:pPr>
            <w:r>
              <w:rPr>
                <w:rFonts w:ascii="Times New Roman" w:hAnsi="Times New Roman"/>
                <w:sz w:val="20"/>
                <w:szCs w:val="20"/>
              </w:rPr>
              <w:t>2.33</w:t>
            </w:r>
          </w:p>
        </w:tc>
      </w:tr>
      <w:tr w14:paraId="5C0384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77211CB2">
            <w:pPr>
              <w:pStyle w:val="14"/>
              <w:spacing w:before="0" w:beforeAutospacing="0" w:line="276" w:lineRule="auto"/>
              <w:jc w:val="left"/>
              <w:rPr>
                <w:sz w:val="20"/>
                <w:szCs w:val="20"/>
              </w:rPr>
            </w:pPr>
            <w:r>
              <w:rPr>
                <w:sz w:val="20"/>
                <w:szCs w:val="20"/>
              </w:rPr>
              <w:t>WBC (X10</w:t>
            </w:r>
            <w:r>
              <w:rPr>
                <w:sz w:val="20"/>
                <w:szCs w:val="20"/>
                <w:vertAlign w:val="superscript"/>
              </w:rPr>
              <w:t>9</w:t>
            </w:r>
            <w:r>
              <w:rPr>
                <w:sz w:val="20"/>
                <w:szCs w:val="20"/>
              </w:rPr>
              <w:t>L)</w:t>
            </w:r>
          </w:p>
        </w:tc>
        <w:tc>
          <w:tcPr>
            <w:tcW w:w="1550" w:type="dxa"/>
          </w:tcPr>
          <w:p w14:paraId="17B47A21">
            <w:pPr>
              <w:spacing w:after="0"/>
              <w:rPr>
                <w:rFonts w:ascii="Times New Roman" w:hAnsi="Times New Roman"/>
                <w:sz w:val="20"/>
                <w:szCs w:val="20"/>
              </w:rPr>
            </w:pPr>
            <w:r>
              <w:rPr>
                <w:rFonts w:ascii="Times New Roman" w:hAnsi="Times New Roman"/>
                <w:sz w:val="20"/>
                <w:szCs w:val="20"/>
              </w:rPr>
              <w:t>129.90</w:t>
            </w:r>
          </w:p>
        </w:tc>
        <w:tc>
          <w:tcPr>
            <w:tcW w:w="1439" w:type="dxa"/>
          </w:tcPr>
          <w:p w14:paraId="3EBE0AAB">
            <w:pPr>
              <w:spacing w:after="0"/>
              <w:rPr>
                <w:rFonts w:ascii="Times New Roman" w:hAnsi="Times New Roman"/>
                <w:sz w:val="20"/>
                <w:szCs w:val="20"/>
              </w:rPr>
            </w:pPr>
            <w:r>
              <w:rPr>
                <w:rFonts w:ascii="Times New Roman" w:hAnsi="Times New Roman"/>
                <w:sz w:val="20"/>
                <w:szCs w:val="20"/>
              </w:rPr>
              <w:t>124.00</w:t>
            </w:r>
          </w:p>
        </w:tc>
        <w:tc>
          <w:tcPr>
            <w:tcW w:w="1550" w:type="dxa"/>
          </w:tcPr>
          <w:p w14:paraId="397F2E45">
            <w:pPr>
              <w:spacing w:after="0"/>
              <w:rPr>
                <w:rFonts w:ascii="Times New Roman" w:hAnsi="Times New Roman"/>
                <w:sz w:val="20"/>
                <w:szCs w:val="20"/>
              </w:rPr>
            </w:pPr>
            <w:r>
              <w:rPr>
                <w:rFonts w:ascii="Times New Roman" w:hAnsi="Times New Roman"/>
                <w:sz w:val="20"/>
                <w:szCs w:val="20"/>
              </w:rPr>
              <w:t>134.95</w:t>
            </w:r>
          </w:p>
        </w:tc>
        <w:tc>
          <w:tcPr>
            <w:tcW w:w="1998" w:type="dxa"/>
          </w:tcPr>
          <w:p w14:paraId="06A1364E">
            <w:pPr>
              <w:spacing w:after="0"/>
              <w:rPr>
                <w:rFonts w:ascii="Times New Roman" w:hAnsi="Times New Roman"/>
                <w:sz w:val="20"/>
                <w:szCs w:val="20"/>
              </w:rPr>
            </w:pPr>
            <w:r>
              <w:rPr>
                <w:rFonts w:ascii="Times New Roman" w:hAnsi="Times New Roman"/>
                <w:sz w:val="20"/>
                <w:szCs w:val="20"/>
              </w:rPr>
              <w:t>131.05</w:t>
            </w:r>
          </w:p>
        </w:tc>
        <w:tc>
          <w:tcPr>
            <w:tcW w:w="1149" w:type="dxa"/>
          </w:tcPr>
          <w:p w14:paraId="42AA89FB">
            <w:pPr>
              <w:spacing w:after="0"/>
              <w:rPr>
                <w:rFonts w:ascii="Times New Roman" w:hAnsi="Times New Roman"/>
                <w:sz w:val="20"/>
                <w:szCs w:val="20"/>
              </w:rPr>
            </w:pPr>
            <w:r>
              <w:rPr>
                <w:rFonts w:ascii="Times New Roman" w:hAnsi="Times New Roman"/>
                <w:sz w:val="20"/>
                <w:szCs w:val="20"/>
              </w:rPr>
              <w:t>1.88</w:t>
            </w:r>
          </w:p>
        </w:tc>
      </w:tr>
      <w:tr w14:paraId="3AB206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5DD5E578">
            <w:pPr>
              <w:pStyle w:val="14"/>
              <w:spacing w:before="0" w:beforeAutospacing="0" w:line="276" w:lineRule="auto"/>
              <w:jc w:val="left"/>
              <w:rPr>
                <w:sz w:val="20"/>
                <w:szCs w:val="20"/>
              </w:rPr>
            </w:pPr>
            <w:r>
              <w:rPr>
                <w:bCs/>
                <w:sz w:val="20"/>
                <w:szCs w:val="20"/>
              </w:rPr>
              <w:t>Neutrophils,</w:t>
            </w:r>
          </w:p>
        </w:tc>
        <w:tc>
          <w:tcPr>
            <w:tcW w:w="1550" w:type="dxa"/>
          </w:tcPr>
          <w:p w14:paraId="27E6EAF5">
            <w:pPr>
              <w:spacing w:after="0"/>
              <w:rPr>
                <w:rFonts w:ascii="Times New Roman" w:hAnsi="Times New Roman"/>
                <w:sz w:val="20"/>
                <w:szCs w:val="20"/>
              </w:rPr>
            </w:pPr>
            <w:r>
              <w:rPr>
                <w:rFonts w:ascii="Times New Roman" w:hAnsi="Times New Roman"/>
                <w:sz w:val="20"/>
                <w:szCs w:val="20"/>
              </w:rPr>
              <w:t>19.00</w:t>
            </w:r>
            <w:r>
              <w:rPr>
                <w:rFonts w:ascii="Times New Roman" w:hAnsi="Times New Roman"/>
                <w:sz w:val="20"/>
                <w:szCs w:val="20"/>
                <w:vertAlign w:val="superscript"/>
              </w:rPr>
              <w:t>b</w:t>
            </w:r>
          </w:p>
        </w:tc>
        <w:tc>
          <w:tcPr>
            <w:tcW w:w="1439" w:type="dxa"/>
          </w:tcPr>
          <w:p w14:paraId="35397ED8">
            <w:pPr>
              <w:spacing w:after="0"/>
              <w:rPr>
                <w:rFonts w:ascii="Times New Roman" w:hAnsi="Times New Roman"/>
                <w:sz w:val="20"/>
                <w:szCs w:val="20"/>
              </w:rPr>
            </w:pPr>
            <w:r>
              <w:rPr>
                <w:rFonts w:ascii="Times New Roman" w:hAnsi="Times New Roman"/>
                <w:sz w:val="20"/>
                <w:szCs w:val="20"/>
              </w:rPr>
              <w:t>19.00</w:t>
            </w:r>
            <w:r>
              <w:rPr>
                <w:rFonts w:ascii="Times New Roman" w:hAnsi="Times New Roman"/>
                <w:sz w:val="20"/>
                <w:szCs w:val="20"/>
                <w:vertAlign w:val="superscript"/>
              </w:rPr>
              <w:t>b</w:t>
            </w:r>
          </w:p>
        </w:tc>
        <w:tc>
          <w:tcPr>
            <w:tcW w:w="1550" w:type="dxa"/>
          </w:tcPr>
          <w:p w14:paraId="166EA8D7">
            <w:pPr>
              <w:spacing w:after="0"/>
              <w:rPr>
                <w:rFonts w:ascii="Times New Roman" w:hAnsi="Times New Roman"/>
                <w:sz w:val="20"/>
                <w:szCs w:val="20"/>
              </w:rPr>
            </w:pPr>
            <w:r>
              <w:rPr>
                <w:rFonts w:ascii="Times New Roman" w:hAnsi="Times New Roman"/>
                <w:sz w:val="20"/>
                <w:szCs w:val="20"/>
              </w:rPr>
              <w:t>40.50</w:t>
            </w:r>
            <w:r>
              <w:rPr>
                <w:rFonts w:ascii="Times New Roman" w:hAnsi="Times New Roman"/>
                <w:sz w:val="20"/>
                <w:szCs w:val="20"/>
                <w:vertAlign w:val="superscript"/>
              </w:rPr>
              <w:t>a</w:t>
            </w:r>
          </w:p>
        </w:tc>
        <w:tc>
          <w:tcPr>
            <w:tcW w:w="1998" w:type="dxa"/>
          </w:tcPr>
          <w:p w14:paraId="557B19CC">
            <w:pPr>
              <w:spacing w:after="0"/>
              <w:rPr>
                <w:rFonts w:ascii="Times New Roman" w:hAnsi="Times New Roman"/>
                <w:sz w:val="20"/>
                <w:szCs w:val="20"/>
              </w:rPr>
            </w:pPr>
            <w:r>
              <w:rPr>
                <w:rFonts w:ascii="Times New Roman" w:hAnsi="Times New Roman"/>
                <w:sz w:val="20"/>
                <w:szCs w:val="20"/>
              </w:rPr>
              <w:t>24.05</w:t>
            </w:r>
            <w:r>
              <w:rPr>
                <w:rFonts w:ascii="Times New Roman" w:hAnsi="Times New Roman"/>
                <w:sz w:val="20"/>
                <w:szCs w:val="20"/>
                <w:vertAlign w:val="superscript"/>
              </w:rPr>
              <w:t>b</w:t>
            </w:r>
          </w:p>
        </w:tc>
        <w:tc>
          <w:tcPr>
            <w:tcW w:w="1149" w:type="dxa"/>
          </w:tcPr>
          <w:p w14:paraId="2A41D2E8">
            <w:pPr>
              <w:spacing w:after="0"/>
              <w:rPr>
                <w:rFonts w:ascii="Times New Roman" w:hAnsi="Times New Roman"/>
                <w:sz w:val="20"/>
                <w:szCs w:val="20"/>
              </w:rPr>
            </w:pPr>
            <w:r>
              <w:rPr>
                <w:rFonts w:ascii="Times New Roman" w:hAnsi="Times New Roman"/>
                <w:sz w:val="20"/>
                <w:szCs w:val="20"/>
              </w:rPr>
              <w:t>2.17</w:t>
            </w:r>
          </w:p>
        </w:tc>
      </w:tr>
      <w:tr w14:paraId="18D54F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5F199268">
            <w:pPr>
              <w:pStyle w:val="14"/>
              <w:spacing w:before="0" w:beforeAutospacing="0" w:line="276" w:lineRule="auto"/>
              <w:jc w:val="left"/>
              <w:rPr>
                <w:sz w:val="20"/>
                <w:szCs w:val="20"/>
              </w:rPr>
            </w:pPr>
            <w:r>
              <w:rPr>
                <w:bCs/>
                <w:sz w:val="20"/>
                <w:szCs w:val="20"/>
              </w:rPr>
              <w:t>Lymphocytes,</w:t>
            </w:r>
          </w:p>
        </w:tc>
        <w:tc>
          <w:tcPr>
            <w:tcW w:w="1550" w:type="dxa"/>
          </w:tcPr>
          <w:p w14:paraId="5E240DE3">
            <w:pPr>
              <w:spacing w:after="0"/>
              <w:rPr>
                <w:rFonts w:ascii="Times New Roman" w:hAnsi="Times New Roman"/>
                <w:sz w:val="20"/>
                <w:szCs w:val="20"/>
              </w:rPr>
            </w:pPr>
            <w:r>
              <w:rPr>
                <w:rFonts w:ascii="Times New Roman" w:hAnsi="Times New Roman"/>
                <w:sz w:val="20"/>
                <w:szCs w:val="20"/>
              </w:rPr>
              <w:t>74.00</w:t>
            </w:r>
            <w:r>
              <w:rPr>
                <w:rFonts w:ascii="Times New Roman" w:hAnsi="Times New Roman"/>
                <w:sz w:val="20"/>
                <w:szCs w:val="20"/>
                <w:vertAlign w:val="superscript"/>
              </w:rPr>
              <w:t>a</w:t>
            </w:r>
          </w:p>
        </w:tc>
        <w:tc>
          <w:tcPr>
            <w:tcW w:w="1439" w:type="dxa"/>
          </w:tcPr>
          <w:p w14:paraId="55F9D47F">
            <w:pPr>
              <w:spacing w:after="0"/>
              <w:rPr>
                <w:rFonts w:ascii="Times New Roman" w:hAnsi="Times New Roman"/>
                <w:sz w:val="20"/>
                <w:szCs w:val="20"/>
              </w:rPr>
            </w:pPr>
            <w:r>
              <w:rPr>
                <w:rFonts w:ascii="Times New Roman" w:hAnsi="Times New Roman"/>
                <w:sz w:val="20"/>
                <w:szCs w:val="20"/>
              </w:rPr>
              <w:t>68.00</w:t>
            </w:r>
            <w:r>
              <w:rPr>
                <w:rFonts w:ascii="Times New Roman" w:hAnsi="Times New Roman"/>
                <w:sz w:val="20"/>
                <w:szCs w:val="20"/>
                <w:vertAlign w:val="superscript"/>
              </w:rPr>
              <w:t>a</w:t>
            </w:r>
          </w:p>
        </w:tc>
        <w:tc>
          <w:tcPr>
            <w:tcW w:w="1550" w:type="dxa"/>
          </w:tcPr>
          <w:p w14:paraId="7CECF27B">
            <w:pPr>
              <w:spacing w:after="0"/>
              <w:rPr>
                <w:rFonts w:ascii="Times New Roman" w:hAnsi="Times New Roman"/>
                <w:sz w:val="20"/>
                <w:szCs w:val="20"/>
              </w:rPr>
            </w:pPr>
            <w:r>
              <w:rPr>
                <w:rFonts w:ascii="Times New Roman" w:hAnsi="Times New Roman"/>
                <w:sz w:val="20"/>
                <w:szCs w:val="20"/>
              </w:rPr>
              <w:t>52.50</w:t>
            </w:r>
            <w:r>
              <w:rPr>
                <w:rFonts w:ascii="Times New Roman" w:hAnsi="Times New Roman"/>
                <w:sz w:val="20"/>
                <w:szCs w:val="20"/>
                <w:vertAlign w:val="superscript"/>
              </w:rPr>
              <w:t>b</w:t>
            </w:r>
          </w:p>
        </w:tc>
        <w:tc>
          <w:tcPr>
            <w:tcW w:w="1998" w:type="dxa"/>
          </w:tcPr>
          <w:p w14:paraId="21F79536">
            <w:pPr>
              <w:spacing w:after="0"/>
              <w:rPr>
                <w:rFonts w:ascii="Times New Roman" w:hAnsi="Times New Roman"/>
                <w:sz w:val="20"/>
                <w:szCs w:val="20"/>
              </w:rPr>
            </w:pPr>
            <w:r>
              <w:rPr>
                <w:rFonts w:ascii="Times New Roman" w:hAnsi="Times New Roman"/>
                <w:sz w:val="20"/>
                <w:szCs w:val="20"/>
              </w:rPr>
              <w:t>67.00</w:t>
            </w:r>
            <w:r>
              <w:rPr>
                <w:rFonts w:ascii="Times New Roman" w:hAnsi="Times New Roman"/>
                <w:sz w:val="20"/>
                <w:szCs w:val="20"/>
                <w:vertAlign w:val="superscript"/>
              </w:rPr>
              <w:t>a</w:t>
            </w:r>
          </w:p>
        </w:tc>
        <w:tc>
          <w:tcPr>
            <w:tcW w:w="1149" w:type="dxa"/>
          </w:tcPr>
          <w:p w14:paraId="71C33D78">
            <w:pPr>
              <w:spacing w:after="0"/>
              <w:rPr>
                <w:rFonts w:ascii="Times New Roman" w:hAnsi="Times New Roman"/>
                <w:sz w:val="20"/>
                <w:szCs w:val="20"/>
              </w:rPr>
            </w:pPr>
            <w:r>
              <w:rPr>
                <w:rFonts w:ascii="Times New Roman" w:hAnsi="Times New Roman"/>
                <w:sz w:val="20"/>
                <w:szCs w:val="20"/>
              </w:rPr>
              <w:t>2.73</w:t>
            </w:r>
          </w:p>
        </w:tc>
      </w:tr>
      <w:tr w14:paraId="44A52F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0B68B870">
            <w:pPr>
              <w:pStyle w:val="14"/>
              <w:spacing w:before="0" w:beforeAutospacing="0" w:line="276" w:lineRule="auto"/>
              <w:jc w:val="left"/>
              <w:rPr>
                <w:sz w:val="20"/>
                <w:szCs w:val="20"/>
              </w:rPr>
            </w:pPr>
            <w:r>
              <w:rPr>
                <w:bCs/>
                <w:sz w:val="20"/>
                <w:szCs w:val="20"/>
              </w:rPr>
              <w:t>Eosinophils</w:t>
            </w:r>
          </w:p>
        </w:tc>
        <w:tc>
          <w:tcPr>
            <w:tcW w:w="1550" w:type="dxa"/>
          </w:tcPr>
          <w:p w14:paraId="7E63D525">
            <w:pPr>
              <w:spacing w:after="0"/>
              <w:rPr>
                <w:rFonts w:ascii="Times New Roman" w:hAnsi="Times New Roman"/>
                <w:sz w:val="20"/>
                <w:szCs w:val="20"/>
              </w:rPr>
            </w:pPr>
            <w:r>
              <w:rPr>
                <w:rFonts w:ascii="Times New Roman" w:hAnsi="Times New Roman"/>
                <w:sz w:val="20"/>
                <w:szCs w:val="20"/>
              </w:rPr>
              <w:t>0.00</w:t>
            </w:r>
            <w:r>
              <w:rPr>
                <w:rFonts w:ascii="Times New Roman" w:hAnsi="Times New Roman"/>
                <w:sz w:val="20"/>
                <w:szCs w:val="20"/>
                <w:vertAlign w:val="superscript"/>
              </w:rPr>
              <w:t>b</w:t>
            </w:r>
          </w:p>
        </w:tc>
        <w:tc>
          <w:tcPr>
            <w:tcW w:w="1439" w:type="dxa"/>
          </w:tcPr>
          <w:p w14:paraId="1FF4869A">
            <w:pPr>
              <w:spacing w:after="0"/>
              <w:rPr>
                <w:rFonts w:ascii="Times New Roman" w:hAnsi="Times New Roman"/>
                <w:sz w:val="20"/>
                <w:szCs w:val="20"/>
              </w:rPr>
            </w:pPr>
            <w:r>
              <w:rPr>
                <w:rFonts w:ascii="Times New Roman" w:hAnsi="Times New Roman"/>
                <w:sz w:val="20"/>
                <w:szCs w:val="20"/>
              </w:rPr>
              <w:t>3.50</w:t>
            </w:r>
            <w:r>
              <w:rPr>
                <w:rFonts w:ascii="Times New Roman" w:hAnsi="Times New Roman"/>
                <w:sz w:val="20"/>
                <w:szCs w:val="20"/>
                <w:vertAlign w:val="superscript"/>
              </w:rPr>
              <w:t>a</w:t>
            </w:r>
          </w:p>
        </w:tc>
        <w:tc>
          <w:tcPr>
            <w:tcW w:w="1550" w:type="dxa"/>
          </w:tcPr>
          <w:p w14:paraId="3778864D">
            <w:pPr>
              <w:spacing w:after="0"/>
              <w:rPr>
                <w:rFonts w:ascii="Times New Roman" w:hAnsi="Times New Roman"/>
                <w:sz w:val="20"/>
                <w:szCs w:val="20"/>
              </w:rPr>
            </w:pPr>
            <w:r>
              <w:rPr>
                <w:rFonts w:ascii="Times New Roman" w:hAnsi="Times New Roman"/>
                <w:sz w:val="20"/>
                <w:szCs w:val="20"/>
              </w:rPr>
              <w:t>0.00</w:t>
            </w:r>
            <w:r>
              <w:rPr>
                <w:rFonts w:ascii="Times New Roman" w:hAnsi="Times New Roman"/>
                <w:sz w:val="20"/>
                <w:szCs w:val="20"/>
                <w:vertAlign w:val="superscript"/>
              </w:rPr>
              <w:t>b</w:t>
            </w:r>
          </w:p>
        </w:tc>
        <w:tc>
          <w:tcPr>
            <w:tcW w:w="1998" w:type="dxa"/>
          </w:tcPr>
          <w:p w14:paraId="05DED879">
            <w:pPr>
              <w:spacing w:after="0"/>
              <w:rPr>
                <w:rFonts w:ascii="Times New Roman" w:hAnsi="Times New Roman"/>
                <w:sz w:val="20"/>
                <w:szCs w:val="20"/>
              </w:rPr>
            </w:pPr>
            <w:r>
              <w:rPr>
                <w:rFonts w:ascii="Times New Roman" w:hAnsi="Times New Roman"/>
                <w:sz w:val="20"/>
                <w:szCs w:val="20"/>
              </w:rPr>
              <w:t>1.00</w:t>
            </w:r>
            <w:r>
              <w:rPr>
                <w:rFonts w:ascii="Times New Roman" w:hAnsi="Times New Roman"/>
                <w:sz w:val="20"/>
                <w:szCs w:val="20"/>
                <w:vertAlign w:val="superscript"/>
              </w:rPr>
              <w:t>a</w:t>
            </w:r>
          </w:p>
        </w:tc>
        <w:tc>
          <w:tcPr>
            <w:tcW w:w="1149" w:type="dxa"/>
          </w:tcPr>
          <w:p w14:paraId="5D7F9BD4">
            <w:pPr>
              <w:spacing w:after="0"/>
              <w:rPr>
                <w:rFonts w:ascii="Times New Roman" w:hAnsi="Times New Roman"/>
                <w:sz w:val="20"/>
                <w:szCs w:val="20"/>
              </w:rPr>
            </w:pPr>
            <w:r>
              <w:rPr>
                <w:rFonts w:ascii="Times New Roman" w:hAnsi="Times New Roman"/>
                <w:sz w:val="20"/>
                <w:szCs w:val="20"/>
              </w:rPr>
              <w:t>0.59</w:t>
            </w:r>
          </w:p>
        </w:tc>
      </w:tr>
      <w:tr w14:paraId="10708A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60303BFB">
            <w:pPr>
              <w:pStyle w:val="14"/>
              <w:spacing w:before="0" w:beforeAutospacing="0" w:line="276" w:lineRule="auto"/>
              <w:jc w:val="left"/>
              <w:rPr>
                <w:sz w:val="20"/>
                <w:szCs w:val="20"/>
              </w:rPr>
            </w:pPr>
            <w:r>
              <w:rPr>
                <w:bCs/>
                <w:sz w:val="20"/>
                <w:szCs w:val="20"/>
              </w:rPr>
              <w:t>Monocytes</w:t>
            </w:r>
          </w:p>
        </w:tc>
        <w:tc>
          <w:tcPr>
            <w:tcW w:w="1550" w:type="dxa"/>
          </w:tcPr>
          <w:p w14:paraId="64554630">
            <w:pPr>
              <w:spacing w:after="0"/>
              <w:rPr>
                <w:rFonts w:ascii="Times New Roman" w:hAnsi="Times New Roman"/>
                <w:sz w:val="20"/>
                <w:szCs w:val="20"/>
              </w:rPr>
            </w:pPr>
            <w:r>
              <w:rPr>
                <w:rFonts w:ascii="Times New Roman" w:hAnsi="Times New Roman"/>
                <w:sz w:val="20"/>
                <w:szCs w:val="20"/>
              </w:rPr>
              <w:t>6.50</w:t>
            </w:r>
          </w:p>
        </w:tc>
        <w:tc>
          <w:tcPr>
            <w:tcW w:w="1439" w:type="dxa"/>
          </w:tcPr>
          <w:p w14:paraId="0A714EC8">
            <w:pPr>
              <w:spacing w:after="0"/>
              <w:rPr>
                <w:rFonts w:ascii="Times New Roman" w:hAnsi="Times New Roman"/>
                <w:sz w:val="20"/>
                <w:szCs w:val="20"/>
              </w:rPr>
            </w:pPr>
            <w:r>
              <w:rPr>
                <w:rFonts w:ascii="Times New Roman" w:hAnsi="Times New Roman"/>
                <w:sz w:val="20"/>
                <w:szCs w:val="20"/>
              </w:rPr>
              <w:t>7.00</w:t>
            </w:r>
          </w:p>
        </w:tc>
        <w:tc>
          <w:tcPr>
            <w:tcW w:w="1550" w:type="dxa"/>
          </w:tcPr>
          <w:p w14:paraId="34008F03">
            <w:pPr>
              <w:spacing w:after="0"/>
              <w:rPr>
                <w:rFonts w:ascii="Times New Roman" w:hAnsi="Times New Roman"/>
                <w:sz w:val="20"/>
                <w:szCs w:val="20"/>
              </w:rPr>
            </w:pPr>
            <w:r>
              <w:rPr>
                <w:rFonts w:ascii="Times New Roman" w:hAnsi="Times New Roman"/>
                <w:sz w:val="20"/>
                <w:szCs w:val="20"/>
              </w:rPr>
              <w:t>6.00</w:t>
            </w:r>
          </w:p>
        </w:tc>
        <w:tc>
          <w:tcPr>
            <w:tcW w:w="1998" w:type="dxa"/>
          </w:tcPr>
          <w:p w14:paraId="30B058F8">
            <w:pPr>
              <w:spacing w:after="0"/>
              <w:rPr>
                <w:rFonts w:ascii="Times New Roman" w:hAnsi="Times New Roman"/>
                <w:sz w:val="20"/>
                <w:szCs w:val="20"/>
              </w:rPr>
            </w:pPr>
            <w:r>
              <w:rPr>
                <w:rFonts w:ascii="Times New Roman" w:hAnsi="Times New Roman"/>
                <w:sz w:val="20"/>
                <w:szCs w:val="20"/>
              </w:rPr>
              <w:t>5.00</w:t>
            </w:r>
          </w:p>
        </w:tc>
        <w:tc>
          <w:tcPr>
            <w:tcW w:w="1149" w:type="dxa"/>
          </w:tcPr>
          <w:p w14:paraId="11337DE0">
            <w:pPr>
              <w:spacing w:after="0"/>
              <w:rPr>
                <w:rFonts w:ascii="Times New Roman" w:hAnsi="Times New Roman"/>
                <w:sz w:val="20"/>
                <w:szCs w:val="20"/>
              </w:rPr>
            </w:pPr>
            <w:r>
              <w:rPr>
                <w:rFonts w:ascii="Times New Roman" w:hAnsi="Times New Roman"/>
                <w:sz w:val="20"/>
                <w:szCs w:val="20"/>
              </w:rPr>
              <w:t>0.74</w:t>
            </w:r>
          </w:p>
        </w:tc>
      </w:tr>
      <w:tr w14:paraId="4FA881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2527" w:type="dxa"/>
          </w:tcPr>
          <w:p w14:paraId="71589EBD">
            <w:pPr>
              <w:pStyle w:val="14"/>
              <w:spacing w:before="0" w:beforeAutospacing="0" w:line="276" w:lineRule="auto"/>
              <w:jc w:val="left"/>
              <w:rPr>
                <w:sz w:val="20"/>
                <w:szCs w:val="20"/>
              </w:rPr>
            </w:pPr>
            <w:r>
              <w:rPr>
                <w:bCs/>
                <w:sz w:val="20"/>
                <w:szCs w:val="20"/>
              </w:rPr>
              <w:t>Basophils</w:t>
            </w:r>
          </w:p>
        </w:tc>
        <w:tc>
          <w:tcPr>
            <w:tcW w:w="1550" w:type="dxa"/>
          </w:tcPr>
          <w:p w14:paraId="2A31433B">
            <w:pPr>
              <w:spacing w:after="0"/>
              <w:rPr>
                <w:rFonts w:ascii="Times New Roman" w:hAnsi="Times New Roman"/>
                <w:sz w:val="20"/>
                <w:szCs w:val="20"/>
              </w:rPr>
            </w:pPr>
            <w:r>
              <w:rPr>
                <w:rFonts w:ascii="Times New Roman" w:hAnsi="Times New Roman"/>
                <w:sz w:val="20"/>
                <w:szCs w:val="20"/>
              </w:rPr>
              <w:t>0.50</w:t>
            </w:r>
            <w:r>
              <w:rPr>
                <w:rFonts w:ascii="Times New Roman" w:hAnsi="Times New Roman"/>
                <w:sz w:val="20"/>
                <w:szCs w:val="20"/>
                <w:vertAlign w:val="superscript"/>
              </w:rPr>
              <w:t>a</w:t>
            </w:r>
          </w:p>
        </w:tc>
        <w:tc>
          <w:tcPr>
            <w:tcW w:w="1439" w:type="dxa"/>
          </w:tcPr>
          <w:p w14:paraId="5131B45F">
            <w:pPr>
              <w:spacing w:after="0"/>
              <w:rPr>
                <w:rFonts w:ascii="Times New Roman" w:hAnsi="Times New Roman"/>
                <w:sz w:val="20"/>
                <w:szCs w:val="20"/>
              </w:rPr>
            </w:pPr>
            <w:r>
              <w:rPr>
                <w:rFonts w:ascii="Times New Roman" w:hAnsi="Times New Roman"/>
                <w:sz w:val="20"/>
                <w:szCs w:val="20"/>
              </w:rPr>
              <w:t>2.50</w:t>
            </w:r>
            <w:r>
              <w:rPr>
                <w:rFonts w:ascii="Times New Roman" w:hAnsi="Times New Roman"/>
                <w:sz w:val="20"/>
                <w:szCs w:val="20"/>
                <w:vertAlign w:val="superscript"/>
              </w:rPr>
              <w:t>a</w:t>
            </w:r>
          </w:p>
        </w:tc>
        <w:tc>
          <w:tcPr>
            <w:tcW w:w="1550" w:type="dxa"/>
          </w:tcPr>
          <w:p w14:paraId="1477DD8D">
            <w:pPr>
              <w:spacing w:after="0"/>
              <w:rPr>
                <w:rFonts w:ascii="Times New Roman" w:hAnsi="Times New Roman"/>
                <w:sz w:val="20"/>
                <w:szCs w:val="20"/>
              </w:rPr>
            </w:pPr>
            <w:r>
              <w:rPr>
                <w:rFonts w:ascii="Times New Roman" w:hAnsi="Times New Roman"/>
                <w:sz w:val="20"/>
                <w:szCs w:val="20"/>
              </w:rPr>
              <w:t>1.00</w:t>
            </w:r>
            <w:r>
              <w:rPr>
                <w:rFonts w:ascii="Times New Roman" w:hAnsi="Times New Roman"/>
                <w:sz w:val="20"/>
                <w:szCs w:val="20"/>
                <w:vertAlign w:val="superscript"/>
              </w:rPr>
              <w:t>a</w:t>
            </w:r>
          </w:p>
        </w:tc>
        <w:tc>
          <w:tcPr>
            <w:tcW w:w="1998" w:type="dxa"/>
          </w:tcPr>
          <w:p w14:paraId="02EEC82E">
            <w:pPr>
              <w:spacing w:after="0"/>
              <w:rPr>
                <w:rFonts w:ascii="Times New Roman" w:hAnsi="Times New Roman"/>
                <w:sz w:val="20"/>
                <w:szCs w:val="20"/>
              </w:rPr>
            </w:pPr>
            <w:r>
              <w:rPr>
                <w:rFonts w:ascii="Times New Roman" w:hAnsi="Times New Roman"/>
                <w:sz w:val="20"/>
                <w:szCs w:val="20"/>
              </w:rPr>
              <w:t>2.50</w:t>
            </w:r>
            <w:r>
              <w:rPr>
                <w:rFonts w:ascii="Times New Roman" w:hAnsi="Times New Roman"/>
                <w:sz w:val="20"/>
                <w:szCs w:val="20"/>
                <w:vertAlign w:val="superscript"/>
              </w:rPr>
              <w:t>a</w:t>
            </w:r>
          </w:p>
        </w:tc>
        <w:tc>
          <w:tcPr>
            <w:tcW w:w="1149" w:type="dxa"/>
          </w:tcPr>
          <w:p w14:paraId="4740920D">
            <w:pPr>
              <w:spacing w:after="0"/>
              <w:rPr>
                <w:rFonts w:ascii="Times New Roman" w:hAnsi="Times New Roman"/>
                <w:sz w:val="20"/>
                <w:szCs w:val="20"/>
              </w:rPr>
            </w:pPr>
            <w:r>
              <w:rPr>
                <w:rFonts w:ascii="Times New Roman" w:hAnsi="Times New Roman"/>
                <w:sz w:val="20"/>
                <w:szCs w:val="20"/>
              </w:rPr>
              <w:t>0.46</w:t>
            </w:r>
          </w:p>
        </w:tc>
      </w:tr>
      <w:tr w14:paraId="491854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527" w:type="dxa"/>
            <w:tcBorders>
              <w:bottom w:val="single" w:color="auto" w:sz="4" w:space="0"/>
            </w:tcBorders>
          </w:tcPr>
          <w:p w14:paraId="5F5DE41A">
            <w:pPr>
              <w:pStyle w:val="14"/>
              <w:spacing w:before="0" w:beforeAutospacing="0" w:line="276" w:lineRule="auto"/>
              <w:jc w:val="left"/>
              <w:rPr>
                <w:sz w:val="20"/>
                <w:szCs w:val="20"/>
              </w:rPr>
            </w:pPr>
            <w:r>
              <w:rPr>
                <w:bCs/>
                <w:sz w:val="20"/>
                <w:szCs w:val="20"/>
              </w:rPr>
              <w:t xml:space="preserve">Platelet </w:t>
            </w:r>
            <w:r>
              <w:rPr>
                <w:sz w:val="20"/>
                <w:szCs w:val="20"/>
              </w:rPr>
              <w:t>(X10</w:t>
            </w:r>
            <w:r>
              <w:rPr>
                <w:sz w:val="20"/>
                <w:szCs w:val="20"/>
                <w:vertAlign w:val="superscript"/>
              </w:rPr>
              <w:t>9</w:t>
            </w:r>
            <w:r>
              <w:rPr>
                <w:sz w:val="20"/>
                <w:szCs w:val="20"/>
              </w:rPr>
              <w:t>L)</w:t>
            </w:r>
          </w:p>
        </w:tc>
        <w:tc>
          <w:tcPr>
            <w:tcW w:w="1550" w:type="dxa"/>
            <w:tcBorders>
              <w:bottom w:val="single" w:color="auto" w:sz="4" w:space="0"/>
            </w:tcBorders>
          </w:tcPr>
          <w:p w14:paraId="70433136">
            <w:pPr>
              <w:spacing w:after="0"/>
              <w:rPr>
                <w:rFonts w:ascii="Times New Roman" w:hAnsi="Times New Roman"/>
                <w:sz w:val="20"/>
                <w:szCs w:val="20"/>
              </w:rPr>
            </w:pPr>
            <w:r>
              <w:rPr>
                <w:rFonts w:ascii="Times New Roman" w:hAnsi="Times New Roman"/>
                <w:sz w:val="20"/>
                <w:szCs w:val="20"/>
              </w:rPr>
              <w:t>21.00</w:t>
            </w:r>
            <w:r>
              <w:rPr>
                <w:rFonts w:ascii="Times New Roman" w:hAnsi="Times New Roman"/>
                <w:sz w:val="20"/>
                <w:szCs w:val="20"/>
                <w:vertAlign w:val="superscript"/>
              </w:rPr>
              <w:t>b</w:t>
            </w:r>
          </w:p>
        </w:tc>
        <w:tc>
          <w:tcPr>
            <w:tcW w:w="1439" w:type="dxa"/>
            <w:tcBorders>
              <w:bottom w:val="single" w:color="auto" w:sz="4" w:space="0"/>
            </w:tcBorders>
          </w:tcPr>
          <w:p w14:paraId="006B17B5">
            <w:pPr>
              <w:spacing w:after="0"/>
              <w:rPr>
                <w:rFonts w:ascii="Times New Roman" w:hAnsi="Times New Roman"/>
                <w:sz w:val="20"/>
                <w:szCs w:val="20"/>
              </w:rPr>
            </w:pPr>
            <w:r>
              <w:rPr>
                <w:rFonts w:ascii="Times New Roman" w:hAnsi="Times New Roman"/>
                <w:sz w:val="20"/>
                <w:szCs w:val="20"/>
              </w:rPr>
              <w:t>30.50</w:t>
            </w:r>
            <w:r>
              <w:rPr>
                <w:rFonts w:ascii="Times New Roman" w:hAnsi="Times New Roman"/>
                <w:sz w:val="20"/>
                <w:szCs w:val="20"/>
                <w:vertAlign w:val="superscript"/>
              </w:rPr>
              <w:t>a</w:t>
            </w:r>
          </w:p>
        </w:tc>
        <w:tc>
          <w:tcPr>
            <w:tcW w:w="1550" w:type="dxa"/>
            <w:tcBorders>
              <w:bottom w:val="single" w:color="auto" w:sz="4" w:space="0"/>
            </w:tcBorders>
          </w:tcPr>
          <w:p w14:paraId="7E834216">
            <w:pPr>
              <w:spacing w:after="0"/>
              <w:rPr>
                <w:rFonts w:ascii="Times New Roman" w:hAnsi="Times New Roman"/>
                <w:sz w:val="20"/>
                <w:szCs w:val="20"/>
              </w:rPr>
            </w:pPr>
            <w:r>
              <w:rPr>
                <w:rFonts w:ascii="Times New Roman" w:hAnsi="Times New Roman"/>
                <w:sz w:val="20"/>
                <w:szCs w:val="20"/>
              </w:rPr>
              <w:t>21.00</w:t>
            </w:r>
            <w:r>
              <w:rPr>
                <w:rFonts w:ascii="Times New Roman" w:hAnsi="Times New Roman"/>
                <w:sz w:val="20"/>
                <w:szCs w:val="20"/>
                <w:vertAlign w:val="superscript"/>
              </w:rPr>
              <w:t>b</w:t>
            </w:r>
          </w:p>
        </w:tc>
        <w:tc>
          <w:tcPr>
            <w:tcW w:w="1998" w:type="dxa"/>
            <w:tcBorders>
              <w:bottom w:val="single" w:color="auto" w:sz="4" w:space="0"/>
            </w:tcBorders>
          </w:tcPr>
          <w:p w14:paraId="21FCC147">
            <w:pPr>
              <w:spacing w:after="0"/>
              <w:rPr>
                <w:rFonts w:ascii="Times New Roman" w:hAnsi="Times New Roman"/>
                <w:sz w:val="20"/>
                <w:szCs w:val="20"/>
              </w:rPr>
            </w:pPr>
            <w:r>
              <w:rPr>
                <w:rFonts w:ascii="Times New Roman" w:hAnsi="Times New Roman"/>
                <w:sz w:val="20"/>
                <w:szCs w:val="20"/>
              </w:rPr>
              <w:t>34.50</w:t>
            </w:r>
            <w:r>
              <w:rPr>
                <w:rFonts w:ascii="Times New Roman" w:hAnsi="Times New Roman"/>
                <w:sz w:val="20"/>
                <w:szCs w:val="20"/>
                <w:vertAlign w:val="superscript"/>
              </w:rPr>
              <w:t>a</w:t>
            </w:r>
          </w:p>
        </w:tc>
        <w:tc>
          <w:tcPr>
            <w:tcW w:w="1149" w:type="dxa"/>
            <w:tcBorders>
              <w:bottom w:val="single" w:color="auto" w:sz="4" w:space="0"/>
            </w:tcBorders>
          </w:tcPr>
          <w:p w14:paraId="0E71FC5D">
            <w:pPr>
              <w:spacing w:after="0"/>
              <w:rPr>
                <w:rFonts w:ascii="Times New Roman" w:hAnsi="Times New Roman"/>
                <w:sz w:val="20"/>
                <w:szCs w:val="20"/>
              </w:rPr>
            </w:pPr>
            <w:r>
              <w:rPr>
                <w:rFonts w:ascii="Times New Roman" w:hAnsi="Times New Roman"/>
                <w:sz w:val="20"/>
                <w:szCs w:val="20"/>
              </w:rPr>
              <w:t>1.69</w:t>
            </w:r>
          </w:p>
        </w:tc>
      </w:tr>
      <w:tr w14:paraId="403DFA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5" w:hRule="atLeast"/>
        </w:trPr>
        <w:tc>
          <w:tcPr>
            <w:tcW w:w="10213" w:type="dxa"/>
            <w:gridSpan w:val="6"/>
            <w:tcBorders>
              <w:top w:val="single" w:color="auto" w:sz="4" w:space="0"/>
              <w:bottom w:val="nil"/>
            </w:tcBorders>
          </w:tcPr>
          <w:p w14:paraId="2708A0F2">
            <w:pPr>
              <w:spacing w:after="0"/>
              <w:jc w:val="both"/>
              <w:rPr>
                <w:rFonts w:ascii="Times New Roman" w:hAnsi="Times New Roman"/>
                <w:sz w:val="18"/>
                <w:szCs w:val="18"/>
              </w:rPr>
            </w:pPr>
            <w:r>
              <w:rPr>
                <w:rFonts w:ascii="Times New Roman" w:hAnsi="Times New Roman"/>
                <w:b/>
                <w:bCs/>
                <w:sz w:val="18"/>
                <w:szCs w:val="18"/>
                <w:vertAlign w:val="superscript"/>
              </w:rPr>
              <w:t>abc</w:t>
            </w:r>
            <w:r>
              <w:rPr>
                <w:rFonts w:ascii="Times New Roman" w:hAnsi="Times New Roman"/>
                <w:b/>
                <w:bCs/>
                <w:sz w:val="18"/>
                <w:szCs w:val="18"/>
              </w:rPr>
              <w:t xml:space="preserve"> Means on the same row with different superscript are significantly(P&gt;0.05) different</w:t>
            </w:r>
            <w:r>
              <w:rPr>
                <w:rFonts w:ascii="Times New Roman" w:hAnsi="Times New Roman" w:eastAsia="Times New Roman"/>
                <w:b/>
                <w:sz w:val="18"/>
                <w:szCs w:val="18"/>
              </w:rPr>
              <w:t xml:space="preserve"> T1: Control diet, T2–Thorn apple fruit (2g of fruit per kg of feed), T3–Thorn apple leaf (2g of leaf per kg of feed) and T4–Thorn apple fruit and leaf (1g of fruit and 1g of leaf per kg of feed)</w:t>
            </w:r>
            <w:r>
              <w:rPr>
                <w:rFonts w:ascii="Times New Roman" w:hAnsi="Times New Roman"/>
                <w:b/>
                <w:sz w:val="18"/>
                <w:szCs w:val="18"/>
              </w:rPr>
              <w:t xml:space="preserve">. </w:t>
            </w:r>
            <w:r>
              <w:rPr>
                <w:rFonts w:ascii="Times New Roman" w:hAnsi="Times New Roman"/>
                <w:b/>
                <w:bCs/>
                <w:sz w:val="18"/>
                <w:szCs w:val="18"/>
              </w:rPr>
              <w:t>PCV; Packed Cell Volume, HCT;- Hematocrit, HC- Haemoglobin Concentration RBC; Red Blood Cell , WBC;-White Blood Cell, MCH ; Mean Corpuscular Hemoglobin, MCV;- Mean Corpuscular Volume MCV;- Mean Corpuscular Volume, MCHC;- Mean Corpuscular</w:t>
            </w:r>
          </w:p>
        </w:tc>
      </w:tr>
    </w:tbl>
    <w:p w14:paraId="33621558">
      <w:pPr>
        <w:spacing w:after="0"/>
        <w:jc w:val="both"/>
        <w:rPr>
          <w:rFonts w:ascii="Times New Roman" w:hAnsi="Times New Roman" w:cs="Times New Roman"/>
          <w:bCs/>
          <w:sz w:val="20"/>
          <w:szCs w:val="20"/>
        </w:rPr>
      </w:pPr>
    </w:p>
    <w:p w14:paraId="555FB3D6">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Across the treatments, T2 (2 g fruit/kg feed) recorded the highest values for packed cell volume and red blood cell count while T1 recorded the least values for these parameters. Packed cell volume ranged from 22.55% (T1) to 25.54% (T2), while red blood cell count ranged from 1.84 × 10⁶/µL (T1) to 2.06 × 10⁶/µL (T2). Haematocrit ranged from 0.22 L/L (T1) to 0.25 L/L (T2 and T4).  T4 showed the highest values for haemoglobin concentration and mean corpuscular volume while T1 and T3 recorded the least values respectively. Haemoglobin concentration ranged from 7.51 g/dL (T1) to 8.52 g/dL (T4), while mean corpuscular volume ranged from 118.50 fL(T3) to 123.95 fL (T4). Mean corpuscular haemoglobin had highest value in T1 and lowest in T3, ranging from 57.40 pg (T3) to 60.30 pg (T1). Mean corpuscular haemoglobin concentration ranged from 33.19 g/L (T2) to 34.13 g/L (T1), with T1 recording the highest value. Neutrophils were highest in T3 and lowest in T1 and T2, ranging from 19.00% (T1 and T2) to 40.50% (T3). Lymphocytes were highest in T1 and lowest in T3, ranging from 52.50% (T3) to 74.00% (T1). Eosinophils ranged from 0.00% (T1 and T3) to 3.50% (T2), with T2 recording the highest value. Monocytes and basophils showed no significant differences across the treatments. </w:t>
      </w:r>
    </w:p>
    <w:p w14:paraId="1E88011E">
      <w:pPr>
        <w:spacing w:after="0"/>
        <w:jc w:val="both"/>
        <w:rPr>
          <w:rFonts w:ascii="Times New Roman" w:hAnsi="Times New Roman" w:cs="Times New Roman"/>
          <w:bCs/>
          <w:sz w:val="20"/>
          <w:szCs w:val="20"/>
        </w:rPr>
      </w:pPr>
    </w:p>
    <w:p w14:paraId="40700147">
      <w:pPr>
        <w:spacing w:after="0"/>
        <w:jc w:val="both"/>
        <w:rPr>
          <w:rFonts w:ascii="Times New Roman" w:hAnsi="Times New Roman" w:cs="Times New Roman"/>
          <w:bCs/>
          <w:sz w:val="20"/>
          <w:szCs w:val="20"/>
        </w:rPr>
      </w:pPr>
    </w:p>
    <w:p w14:paraId="767DAB83">
      <w:pPr>
        <w:spacing w:after="0"/>
        <w:jc w:val="both"/>
        <w:rPr>
          <w:rFonts w:ascii="Times New Roman" w:hAnsi="Times New Roman" w:cs="Times New Roman"/>
          <w:bCs/>
          <w:sz w:val="20"/>
          <w:szCs w:val="20"/>
        </w:rPr>
      </w:pPr>
    </w:p>
    <w:p w14:paraId="718C9620">
      <w:pPr>
        <w:spacing w:after="0"/>
        <w:jc w:val="both"/>
        <w:rPr>
          <w:rFonts w:ascii="Times New Roman" w:hAnsi="Times New Roman" w:cs="Times New Roman"/>
          <w:bCs/>
          <w:sz w:val="20"/>
          <w:szCs w:val="20"/>
        </w:rPr>
      </w:pPr>
    </w:p>
    <w:p w14:paraId="67F37540">
      <w:pPr>
        <w:spacing w:after="0"/>
        <w:jc w:val="both"/>
        <w:rPr>
          <w:rFonts w:ascii="Times New Roman" w:hAnsi="Times New Roman" w:cs="Times New Roman"/>
          <w:bCs/>
          <w:sz w:val="20"/>
          <w:szCs w:val="20"/>
        </w:rPr>
      </w:pPr>
    </w:p>
    <w:p w14:paraId="3EB31B2F">
      <w:pPr>
        <w:spacing w:after="0"/>
        <w:jc w:val="both"/>
        <w:rPr>
          <w:rFonts w:ascii="Times New Roman" w:hAnsi="Times New Roman" w:cs="Times New Roman"/>
          <w:bCs/>
          <w:sz w:val="20"/>
          <w:szCs w:val="20"/>
        </w:rPr>
      </w:pPr>
    </w:p>
    <w:p w14:paraId="6FC7E8CD">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Monocytes ranged from 5.00% (T4) to 7.00% (T2), while basophils ranged from 0.50% (T1) to 2.50% (T2 and T4).  </w:t>
      </w:r>
    </w:p>
    <w:p w14:paraId="4C7803C7">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Platelet count and platelet distribution width were highest in T4 and T2 respectively while T1 and T3 recorded the least values for platelet count. Platelet count ranged from 21.00 × 10⁹/L (T1 and T3) to 34.50 × 10⁹/L (T4), while platelet distribution width ranged from 17.80% (T1) to 18.45% (T2). Mean platelet volume was highest in T3 and lowest in T1, ranging from 13.10 fL (T1) to 14.60 fL (T3). </w:t>
      </w:r>
    </w:p>
    <w:p w14:paraId="179F62B0">
      <w:pPr>
        <w:spacing w:after="0"/>
        <w:jc w:val="both"/>
        <w:rPr>
          <w:rFonts w:ascii="Times New Roman" w:hAnsi="Times New Roman" w:cs="Times New Roman"/>
          <w:bCs/>
          <w:sz w:val="20"/>
          <w:szCs w:val="20"/>
        </w:rPr>
      </w:pPr>
      <w:r>
        <w:rPr>
          <w:rFonts w:ascii="Times New Roman" w:hAnsi="Times New Roman" w:cs="Times New Roman"/>
          <w:bCs/>
          <w:sz w:val="20"/>
          <w:szCs w:val="20"/>
        </w:rPr>
        <w:t xml:space="preserve">Broiler chickens fed diet containing T4 had higher (P&lt;0.05) levels of aspartate aminotransferase (125.64 IU/L), whereas those fed diet containing control diet had the lowest (41.88 IU/L). Broiler chickens fed diet containing T4 had higher (P&lt;0.05) alanine aminotransferase (21.81 IU/L), whereas those fed the feed containing </w:t>
      </w:r>
      <w:r>
        <w:rPr>
          <w:rFonts w:ascii="Times New Roman" w:hAnsi="Times New Roman" w:cs="Times New Roman"/>
          <w:sz w:val="20"/>
          <w:szCs w:val="20"/>
        </w:rPr>
        <w:t xml:space="preserve">Thorn apple fruit (2g of fruit per kg of feed) </w:t>
      </w:r>
      <w:r>
        <w:rPr>
          <w:rFonts w:ascii="Times New Roman" w:hAnsi="Times New Roman" w:cs="Times New Roman"/>
          <w:bCs/>
          <w:sz w:val="20"/>
          <w:szCs w:val="20"/>
        </w:rPr>
        <w:t xml:space="preserve">had the lowest (5.23 IU/L). Highest (P&lt; 0.05) albumin (16.39 g/l) was recorded with broiler chicken fed diet containing </w:t>
      </w:r>
      <w:r>
        <w:rPr>
          <w:rFonts w:ascii="Times New Roman" w:hAnsi="Times New Roman" w:cs="Times New Roman"/>
          <w:sz w:val="20"/>
          <w:szCs w:val="20"/>
        </w:rPr>
        <w:t xml:space="preserve">thorn apple leaf (2g of leaf per kg of feed) </w:t>
      </w:r>
      <w:r>
        <w:rPr>
          <w:rFonts w:ascii="Times New Roman" w:hAnsi="Times New Roman" w:cs="Times New Roman"/>
          <w:bCs/>
          <w:sz w:val="20"/>
          <w:szCs w:val="20"/>
        </w:rPr>
        <w:t>while broiler chicken fed diet containing t</w:t>
      </w:r>
      <w:r>
        <w:rPr>
          <w:rFonts w:ascii="Times New Roman" w:hAnsi="Times New Roman" w:cs="Times New Roman"/>
          <w:sz w:val="20"/>
          <w:szCs w:val="20"/>
        </w:rPr>
        <w:t xml:space="preserve">horn apple fruit (2g of fruit per kg of feed), </w:t>
      </w:r>
      <w:r>
        <w:rPr>
          <w:rFonts w:ascii="Times New Roman" w:hAnsi="Times New Roman" w:cs="Times New Roman"/>
          <w:bCs/>
          <w:sz w:val="20"/>
          <w:szCs w:val="20"/>
        </w:rPr>
        <w:t>control diet had the least (14.91g/l).</w:t>
      </w:r>
    </w:p>
    <w:p w14:paraId="52F4019E">
      <w:pPr>
        <w:pStyle w:val="14"/>
        <w:spacing w:before="0" w:beforeAutospacing="0" w:line="276" w:lineRule="auto"/>
        <w:rPr>
          <w:bCs/>
          <w:sz w:val="20"/>
          <w:szCs w:val="20"/>
        </w:rPr>
      </w:pPr>
      <w:r>
        <w:rPr>
          <w:bCs/>
          <w:sz w:val="20"/>
          <w:szCs w:val="20"/>
        </w:rPr>
        <w:t>Alkaline phosphatase, Total protein, globulin and cholesterol showed no significant differences across the treatments. All the result for serum biochemistry are in Table V.</w:t>
      </w:r>
    </w:p>
    <w:p w14:paraId="3AB6F5B6">
      <w:pPr>
        <w:pStyle w:val="14"/>
        <w:spacing w:before="0" w:beforeAutospacing="0" w:line="276" w:lineRule="auto"/>
        <w:rPr>
          <w:bCs/>
          <w:sz w:val="20"/>
          <w:szCs w:val="20"/>
        </w:rPr>
      </w:pPr>
    </w:p>
    <w:p w14:paraId="36DF0609">
      <w:pPr>
        <w:pStyle w:val="14"/>
        <w:spacing w:before="0" w:beforeAutospacing="0" w:line="276" w:lineRule="auto"/>
        <w:rPr>
          <w:bCs/>
          <w:sz w:val="20"/>
          <w:szCs w:val="20"/>
        </w:rPr>
      </w:pPr>
    </w:p>
    <w:p w14:paraId="75477105">
      <w:pPr>
        <w:pStyle w:val="14"/>
        <w:spacing w:before="0" w:beforeAutospacing="0" w:line="276" w:lineRule="auto"/>
        <w:rPr>
          <w:bCs/>
          <w:sz w:val="20"/>
          <w:szCs w:val="20"/>
        </w:rPr>
      </w:pPr>
    </w:p>
    <w:p w14:paraId="01B13BB2">
      <w:pPr>
        <w:pStyle w:val="14"/>
        <w:spacing w:before="0" w:beforeAutospacing="0" w:line="276" w:lineRule="auto"/>
        <w:rPr>
          <w:bCs/>
          <w:sz w:val="20"/>
          <w:szCs w:val="20"/>
        </w:rPr>
      </w:pPr>
    </w:p>
    <w:tbl>
      <w:tblPr>
        <w:tblStyle w:val="4"/>
        <w:tblpPr w:leftFromText="180" w:rightFromText="180" w:vertAnchor="text" w:horzAnchor="margin" w:tblpY="140"/>
        <w:tblW w:w="10215"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29"/>
        <w:gridCol w:w="1538"/>
        <w:gridCol w:w="1548"/>
        <w:gridCol w:w="1344"/>
        <w:gridCol w:w="2005"/>
        <w:gridCol w:w="1151"/>
      </w:tblGrid>
      <w:tr w14:paraId="131340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10215" w:type="dxa"/>
            <w:gridSpan w:val="6"/>
            <w:tcBorders>
              <w:top w:val="nil"/>
              <w:bottom w:val="single" w:color="auto" w:sz="4" w:space="0"/>
            </w:tcBorders>
          </w:tcPr>
          <w:p w14:paraId="3BA5035C">
            <w:pPr>
              <w:spacing w:after="0" w:line="240" w:lineRule="auto"/>
              <w:jc w:val="both"/>
              <w:rPr>
                <w:rFonts w:ascii="Times New Roman" w:hAnsi="Times New Roman" w:eastAsia="Calibri"/>
                <w:b/>
                <w:bCs/>
                <w:sz w:val="20"/>
                <w:szCs w:val="20"/>
              </w:rPr>
            </w:pPr>
            <w:r>
              <w:rPr>
                <w:rFonts w:ascii="Times New Roman" w:hAnsi="Times New Roman"/>
                <w:b/>
                <w:sz w:val="20"/>
                <w:szCs w:val="20"/>
              </w:rPr>
              <w:t xml:space="preserve">TABLE V: </w:t>
            </w:r>
            <w:r>
              <w:rPr>
                <w:rFonts w:ascii="Times New Roman" w:hAnsi="Times New Roman"/>
                <w:b/>
                <w:bCs/>
                <w:sz w:val="20"/>
                <w:szCs w:val="20"/>
              </w:rPr>
              <w:t>SERUM BIOCHEMISTRY OF BROILER CHICKENS FED DIETS CONTAINING VARYING LEVEL OF THORN APPLE FRUIT, LEAF AND THEIR BLEND</w:t>
            </w:r>
          </w:p>
        </w:tc>
      </w:tr>
      <w:tr w14:paraId="660AE4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2629" w:type="dxa"/>
            <w:tcBorders>
              <w:bottom w:val="single" w:color="auto" w:sz="4" w:space="0"/>
            </w:tcBorders>
          </w:tcPr>
          <w:p w14:paraId="2A7C257A">
            <w:pPr>
              <w:spacing w:after="0" w:line="240" w:lineRule="auto"/>
              <w:rPr>
                <w:rFonts w:ascii="Times New Roman" w:hAnsi="Times New Roman" w:eastAsia="SimSun"/>
                <w:b/>
                <w:sz w:val="20"/>
                <w:szCs w:val="20"/>
              </w:rPr>
            </w:pPr>
            <w:r>
              <w:rPr>
                <w:rFonts w:ascii="Times New Roman" w:hAnsi="Times New Roman" w:eastAsia="SimSun"/>
                <w:b/>
                <w:sz w:val="20"/>
                <w:szCs w:val="20"/>
              </w:rPr>
              <w:t>Parameters</w:t>
            </w:r>
          </w:p>
        </w:tc>
        <w:tc>
          <w:tcPr>
            <w:tcW w:w="1538" w:type="dxa"/>
            <w:tcBorders>
              <w:bottom w:val="single" w:color="auto" w:sz="4" w:space="0"/>
            </w:tcBorders>
          </w:tcPr>
          <w:p w14:paraId="2C2FA864">
            <w:pPr>
              <w:spacing w:after="0" w:line="240" w:lineRule="auto"/>
              <w:jc w:val="center"/>
              <w:rPr>
                <w:rFonts w:ascii="Times New Roman" w:hAnsi="Times New Roman" w:eastAsia="SimSun"/>
                <w:b/>
                <w:sz w:val="20"/>
                <w:szCs w:val="20"/>
              </w:rPr>
            </w:pPr>
            <w:r>
              <w:rPr>
                <w:rFonts w:ascii="Times New Roman" w:hAnsi="Times New Roman" w:eastAsia="SimSun"/>
                <w:b/>
                <w:sz w:val="20"/>
                <w:szCs w:val="20"/>
              </w:rPr>
              <w:t>Control</w:t>
            </w:r>
          </w:p>
        </w:tc>
        <w:tc>
          <w:tcPr>
            <w:tcW w:w="1548" w:type="dxa"/>
            <w:tcBorders>
              <w:bottom w:val="single" w:color="auto" w:sz="4" w:space="0"/>
            </w:tcBorders>
          </w:tcPr>
          <w:p w14:paraId="41962A98">
            <w:pPr>
              <w:spacing w:after="0" w:line="240" w:lineRule="auto"/>
              <w:jc w:val="center"/>
              <w:rPr>
                <w:rFonts w:ascii="Times New Roman" w:hAnsi="Times New Roman" w:eastAsia="SimSun"/>
                <w:b/>
                <w:sz w:val="20"/>
                <w:szCs w:val="20"/>
              </w:rPr>
            </w:pPr>
            <w:r>
              <w:rPr>
                <w:rFonts w:ascii="Times New Roman" w:hAnsi="Times New Roman" w:eastAsia="SimSun"/>
                <w:b/>
                <w:sz w:val="20"/>
                <w:szCs w:val="20"/>
              </w:rPr>
              <w:t>Fruit</w:t>
            </w:r>
          </w:p>
        </w:tc>
        <w:tc>
          <w:tcPr>
            <w:tcW w:w="1344" w:type="dxa"/>
            <w:tcBorders>
              <w:bottom w:val="single" w:color="auto" w:sz="4" w:space="0"/>
            </w:tcBorders>
          </w:tcPr>
          <w:p w14:paraId="6337148F">
            <w:pPr>
              <w:spacing w:after="0" w:line="240" w:lineRule="auto"/>
              <w:jc w:val="center"/>
              <w:rPr>
                <w:rFonts w:ascii="Times New Roman" w:hAnsi="Times New Roman" w:eastAsia="SimSun"/>
                <w:b/>
                <w:sz w:val="20"/>
                <w:szCs w:val="20"/>
              </w:rPr>
            </w:pPr>
            <w:r>
              <w:rPr>
                <w:rFonts w:ascii="Times New Roman" w:hAnsi="Times New Roman" w:eastAsia="SimSun"/>
                <w:b/>
                <w:sz w:val="20"/>
                <w:szCs w:val="20"/>
              </w:rPr>
              <w:t>Leaf</w:t>
            </w:r>
          </w:p>
        </w:tc>
        <w:tc>
          <w:tcPr>
            <w:tcW w:w="2005" w:type="dxa"/>
            <w:tcBorders>
              <w:bottom w:val="single" w:color="auto" w:sz="4" w:space="0"/>
            </w:tcBorders>
          </w:tcPr>
          <w:p w14:paraId="0C8BE9D5">
            <w:pPr>
              <w:spacing w:after="0" w:line="240" w:lineRule="auto"/>
              <w:jc w:val="center"/>
              <w:rPr>
                <w:rFonts w:ascii="Times New Roman" w:hAnsi="Times New Roman" w:eastAsia="SimSun"/>
                <w:b/>
                <w:sz w:val="20"/>
                <w:szCs w:val="20"/>
              </w:rPr>
            </w:pPr>
            <w:r>
              <w:rPr>
                <w:rFonts w:ascii="Times New Roman" w:hAnsi="Times New Roman" w:eastAsia="SimSun"/>
                <w:b/>
                <w:sz w:val="20"/>
                <w:szCs w:val="20"/>
              </w:rPr>
              <w:t>Leaf+Fruit</w:t>
            </w:r>
          </w:p>
        </w:tc>
        <w:tc>
          <w:tcPr>
            <w:tcW w:w="1150" w:type="dxa"/>
            <w:tcBorders>
              <w:bottom w:val="single" w:color="auto" w:sz="4" w:space="0"/>
            </w:tcBorders>
          </w:tcPr>
          <w:p w14:paraId="03564BA8">
            <w:pPr>
              <w:spacing w:after="0" w:line="240" w:lineRule="auto"/>
              <w:jc w:val="center"/>
              <w:rPr>
                <w:rFonts w:ascii="Times New Roman" w:hAnsi="Times New Roman" w:eastAsia="SimSun"/>
                <w:b/>
                <w:sz w:val="20"/>
                <w:szCs w:val="20"/>
              </w:rPr>
            </w:pPr>
            <w:r>
              <w:rPr>
                <w:rFonts w:ascii="Times New Roman" w:hAnsi="Times New Roman" w:eastAsia="SimSun"/>
                <w:b/>
                <w:sz w:val="20"/>
                <w:szCs w:val="20"/>
              </w:rPr>
              <w:t>SEM</w:t>
            </w:r>
          </w:p>
        </w:tc>
      </w:tr>
      <w:tr w14:paraId="78FAE4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2629" w:type="dxa"/>
            <w:tcBorders>
              <w:top w:val="single" w:color="auto" w:sz="4" w:space="0"/>
              <w:bottom w:val="nil"/>
            </w:tcBorders>
          </w:tcPr>
          <w:p w14:paraId="0C59EEA7">
            <w:pPr>
              <w:spacing w:after="0" w:line="240" w:lineRule="auto"/>
              <w:rPr>
                <w:rFonts w:ascii="Times New Roman" w:hAnsi="Times New Roman" w:eastAsia="Times New Roman"/>
                <w:bCs/>
                <w:sz w:val="20"/>
                <w:szCs w:val="20"/>
                <w:lang w:val="en-US"/>
              </w:rPr>
            </w:pPr>
            <w:r>
              <w:rPr>
                <w:rFonts w:ascii="Times New Roman" w:hAnsi="Times New Roman" w:eastAsia="Times New Roman"/>
                <w:bCs/>
                <w:sz w:val="20"/>
                <w:szCs w:val="20"/>
              </w:rPr>
              <w:t>AS</w:t>
            </w:r>
            <w:r>
              <w:rPr>
                <w:rFonts w:ascii="Times New Roman" w:hAnsi="Times New Roman" w:eastAsia="Times New Roman"/>
                <w:bCs/>
                <w:sz w:val="20"/>
                <w:szCs w:val="20"/>
                <w:lang w:val="en-US"/>
              </w:rPr>
              <w:t>T (iul)</w:t>
            </w:r>
          </w:p>
        </w:tc>
        <w:tc>
          <w:tcPr>
            <w:tcW w:w="1538" w:type="dxa"/>
            <w:tcBorders>
              <w:top w:val="single" w:color="auto" w:sz="4" w:space="0"/>
              <w:bottom w:val="nil"/>
            </w:tcBorders>
          </w:tcPr>
          <w:p w14:paraId="44330F77">
            <w:pPr>
              <w:spacing w:after="0" w:line="240" w:lineRule="auto"/>
              <w:jc w:val="center"/>
              <w:rPr>
                <w:rFonts w:ascii="Times New Roman" w:hAnsi="Times New Roman"/>
                <w:sz w:val="20"/>
                <w:szCs w:val="20"/>
              </w:rPr>
            </w:pPr>
            <w:r>
              <w:rPr>
                <w:rFonts w:ascii="Times New Roman" w:hAnsi="Times New Roman"/>
                <w:sz w:val="20"/>
                <w:szCs w:val="20"/>
              </w:rPr>
              <w:t>41.88</w:t>
            </w:r>
            <w:r>
              <w:rPr>
                <w:rFonts w:ascii="Times New Roman" w:hAnsi="Times New Roman"/>
                <w:sz w:val="20"/>
                <w:szCs w:val="20"/>
                <w:vertAlign w:val="superscript"/>
              </w:rPr>
              <w:t>c</w:t>
            </w:r>
          </w:p>
        </w:tc>
        <w:tc>
          <w:tcPr>
            <w:tcW w:w="1548" w:type="dxa"/>
            <w:tcBorders>
              <w:top w:val="single" w:color="auto" w:sz="4" w:space="0"/>
              <w:bottom w:val="nil"/>
            </w:tcBorders>
          </w:tcPr>
          <w:p w14:paraId="1FACD9A9">
            <w:pPr>
              <w:spacing w:after="0" w:line="240" w:lineRule="auto"/>
              <w:jc w:val="center"/>
              <w:rPr>
                <w:rFonts w:ascii="Times New Roman" w:hAnsi="Times New Roman"/>
                <w:sz w:val="20"/>
                <w:szCs w:val="20"/>
              </w:rPr>
            </w:pPr>
            <w:r>
              <w:rPr>
                <w:rFonts w:ascii="Times New Roman" w:hAnsi="Times New Roman"/>
                <w:sz w:val="20"/>
                <w:szCs w:val="20"/>
              </w:rPr>
              <w:t>107.31</w:t>
            </w:r>
            <w:r>
              <w:rPr>
                <w:rFonts w:ascii="Times New Roman" w:hAnsi="Times New Roman"/>
                <w:sz w:val="20"/>
                <w:szCs w:val="20"/>
                <w:vertAlign w:val="superscript"/>
              </w:rPr>
              <w:t>ab</w:t>
            </w:r>
          </w:p>
        </w:tc>
        <w:tc>
          <w:tcPr>
            <w:tcW w:w="1344" w:type="dxa"/>
            <w:tcBorders>
              <w:top w:val="single" w:color="auto" w:sz="4" w:space="0"/>
              <w:bottom w:val="nil"/>
            </w:tcBorders>
          </w:tcPr>
          <w:p w14:paraId="499F851B">
            <w:pPr>
              <w:spacing w:after="0" w:line="240" w:lineRule="auto"/>
              <w:jc w:val="center"/>
              <w:rPr>
                <w:rFonts w:ascii="Times New Roman" w:hAnsi="Times New Roman"/>
                <w:sz w:val="20"/>
                <w:szCs w:val="20"/>
              </w:rPr>
            </w:pPr>
            <w:r>
              <w:rPr>
                <w:rFonts w:ascii="Times New Roman" w:hAnsi="Times New Roman"/>
                <w:sz w:val="20"/>
                <w:szCs w:val="20"/>
              </w:rPr>
              <w:t>88.99</w:t>
            </w:r>
            <w:r>
              <w:rPr>
                <w:rFonts w:ascii="Times New Roman" w:hAnsi="Times New Roman"/>
                <w:sz w:val="20"/>
                <w:szCs w:val="20"/>
                <w:vertAlign w:val="superscript"/>
              </w:rPr>
              <w:t>b</w:t>
            </w:r>
          </w:p>
        </w:tc>
        <w:tc>
          <w:tcPr>
            <w:tcW w:w="2005" w:type="dxa"/>
            <w:tcBorders>
              <w:top w:val="single" w:color="auto" w:sz="4" w:space="0"/>
              <w:bottom w:val="nil"/>
            </w:tcBorders>
          </w:tcPr>
          <w:p w14:paraId="6FB0117C">
            <w:pPr>
              <w:spacing w:after="0" w:line="240" w:lineRule="auto"/>
              <w:jc w:val="center"/>
              <w:rPr>
                <w:rFonts w:ascii="Times New Roman" w:hAnsi="Times New Roman"/>
                <w:sz w:val="20"/>
                <w:szCs w:val="20"/>
              </w:rPr>
            </w:pPr>
            <w:r>
              <w:rPr>
                <w:rFonts w:ascii="Times New Roman" w:hAnsi="Times New Roman"/>
                <w:sz w:val="20"/>
                <w:szCs w:val="20"/>
              </w:rPr>
              <w:t>125.64</w:t>
            </w:r>
            <w:r>
              <w:rPr>
                <w:rFonts w:ascii="Times New Roman" w:hAnsi="Times New Roman"/>
                <w:sz w:val="20"/>
                <w:szCs w:val="20"/>
                <w:vertAlign w:val="superscript"/>
              </w:rPr>
              <w:t>a</w:t>
            </w:r>
          </w:p>
        </w:tc>
        <w:tc>
          <w:tcPr>
            <w:tcW w:w="1150" w:type="dxa"/>
            <w:tcBorders>
              <w:top w:val="single" w:color="auto" w:sz="4" w:space="0"/>
              <w:bottom w:val="nil"/>
            </w:tcBorders>
          </w:tcPr>
          <w:p w14:paraId="26DEDE52">
            <w:pPr>
              <w:spacing w:after="0" w:line="240" w:lineRule="auto"/>
              <w:jc w:val="center"/>
              <w:rPr>
                <w:rFonts w:ascii="Times New Roman" w:hAnsi="Times New Roman"/>
                <w:sz w:val="20"/>
                <w:szCs w:val="20"/>
              </w:rPr>
            </w:pPr>
            <w:r>
              <w:rPr>
                <w:rFonts w:ascii="Times New Roman" w:hAnsi="Times New Roman"/>
                <w:sz w:val="20"/>
                <w:szCs w:val="20"/>
              </w:rPr>
              <w:t>9.47</w:t>
            </w:r>
          </w:p>
        </w:tc>
      </w:tr>
      <w:tr w14:paraId="6AD7CF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2629" w:type="dxa"/>
          </w:tcPr>
          <w:p w14:paraId="3D65BDDA">
            <w:pPr>
              <w:spacing w:after="0" w:line="240" w:lineRule="auto"/>
              <w:rPr>
                <w:rFonts w:ascii="Times New Roman" w:hAnsi="Times New Roman" w:eastAsia="Times New Roman"/>
                <w:bCs/>
                <w:sz w:val="20"/>
                <w:szCs w:val="20"/>
                <w:lang w:val="en-US"/>
              </w:rPr>
            </w:pPr>
            <w:r>
              <w:rPr>
                <w:rFonts w:ascii="Times New Roman" w:hAnsi="Times New Roman" w:eastAsia="Times New Roman"/>
                <w:bCs/>
                <w:sz w:val="20"/>
                <w:szCs w:val="20"/>
                <w:lang w:val="en-US"/>
              </w:rPr>
              <w:t>ALT (iul)</w:t>
            </w:r>
          </w:p>
        </w:tc>
        <w:tc>
          <w:tcPr>
            <w:tcW w:w="1538" w:type="dxa"/>
          </w:tcPr>
          <w:p w14:paraId="6A22FE18">
            <w:pPr>
              <w:spacing w:after="0" w:line="240" w:lineRule="auto"/>
              <w:jc w:val="center"/>
              <w:rPr>
                <w:rFonts w:ascii="Times New Roman" w:hAnsi="Times New Roman"/>
                <w:sz w:val="20"/>
                <w:szCs w:val="20"/>
              </w:rPr>
            </w:pPr>
            <w:r>
              <w:rPr>
                <w:rFonts w:ascii="Times New Roman" w:hAnsi="Times New Roman"/>
                <w:sz w:val="20"/>
                <w:szCs w:val="20"/>
              </w:rPr>
              <w:t>9.59</w:t>
            </w:r>
            <w:r>
              <w:rPr>
                <w:rFonts w:ascii="Times New Roman" w:hAnsi="Times New Roman"/>
                <w:sz w:val="20"/>
                <w:szCs w:val="20"/>
                <w:vertAlign w:val="superscript"/>
              </w:rPr>
              <w:t>b</w:t>
            </w:r>
          </w:p>
        </w:tc>
        <w:tc>
          <w:tcPr>
            <w:tcW w:w="1548" w:type="dxa"/>
          </w:tcPr>
          <w:p w14:paraId="4D59C952">
            <w:pPr>
              <w:spacing w:after="0" w:line="240" w:lineRule="auto"/>
              <w:jc w:val="center"/>
              <w:rPr>
                <w:rFonts w:ascii="Times New Roman" w:hAnsi="Times New Roman"/>
                <w:sz w:val="20"/>
                <w:szCs w:val="20"/>
              </w:rPr>
            </w:pPr>
            <w:r>
              <w:rPr>
                <w:rFonts w:ascii="Times New Roman" w:hAnsi="Times New Roman"/>
                <w:sz w:val="20"/>
                <w:szCs w:val="20"/>
              </w:rPr>
              <w:t>5.23</w:t>
            </w:r>
            <w:r>
              <w:rPr>
                <w:rFonts w:ascii="Times New Roman" w:hAnsi="Times New Roman"/>
                <w:sz w:val="20"/>
                <w:szCs w:val="20"/>
                <w:vertAlign w:val="superscript"/>
              </w:rPr>
              <w:t>c</w:t>
            </w:r>
          </w:p>
        </w:tc>
        <w:tc>
          <w:tcPr>
            <w:tcW w:w="1344" w:type="dxa"/>
          </w:tcPr>
          <w:p w14:paraId="5197A06F">
            <w:pPr>
              <w:spacing w:after="0" w:line="240" w:lineRule="auto"/>
              <w:jc w:val="center"/>
              <w:rPr>
                <w:rFonts w:ascii="Times New Roman" w:hAnsi="Times New Roman"/>
                <w:sz w:val="20"/>
                <w:szCs w:val="20"/>
              </w:rPr>
            </w:pPr>
            <w:r>
              <w:rPr>
                <w:rFonts w:ascii="Times New Roman" w:hAnsi="Times New Roman"/>
                <w:sz w:val="20"/>
                <w:szCs w:val="20"/>
              </w:rPr>
              <w:t>4.36</w:t>
            </w:r>
            <w:r>
              <w:rPr>
                <w:rFonts w:ascii="Times New Roman" w:hAnsi="Times New Roman"/>
                <w:sz w:val="20"/>
                <w:szCs w:val="20"/>
                <w:vertAlign w:val="superscript"/>
              </w:rPr>
              <w:t>d</w:t>
            </w:r>
          </w:p>
        </w:tc>
        <w:tc>
          <w:tcPr>
            <w:tcW w:w="2005" w:type="dxa"/>
          </w:tcPr>
          <w:p w14:paraId="5C5BF131">
            <w:pPr>
              <w:spacing w:after="0" w:line="240" w:lineRule="auto"/>
              <w:jc w:val="center"/>
              <w:rPr>
                <w:rFonts w:ascii="Times New Roman" w:hAnsi="Times New Roman"/>
                <w:sz w:val="20"/>
                <w:szCs w:val="20"/>
              </w:rPr>
            </w:pPr>
            <w:r>
              <w:rPr>
                <w:rFonts w:ascii="Times New Roman" w:hAnsi="Times New Roman"/>
                <w:sz w:val="20"/>
                <w:szCs w:val="20"/>
              </w:rPr>
              <w:t>21.81</w:t>
            </w:r>
            <w:r>
              <w:rPr>
                <w:rFonts w:ascii="Times New Roman" w:hAnsi="Times New Roman"/>
                <w:sz w:val="20"/>
                <w:szCs w:val="20"/>
                <w:vertAlign w:val="superscript"/>
              </w:rPr>
              <w:t>a</w:t>
            </w:r>
          </w:p>
        </w:tc>
        <w:tc>
          <w:tcPr>
            <w:tcW w:w="1150" w:type="dxa"/>
          </w:tcPr>
          <w:p w14:paraId="2B7DD48C">
            <w:pPr>
              <w:spacing w:after="0" w:line="240" w:lineRule="auto"/>
              <w:jc w:val="center"/>
              <w:rPr>
                <w:rFonts w:ascii="Times New Roman" w:hAnsi="Times New Roman"/>
                <w:sz w:val="20"/>
                <w:szCs w:val="20"/>
              </w:rPr>
            </w:pPr>
            <w:r>
              <w:rPr>
                <w:rFonts w:ascii="Times New Roman" w:hAnsi="Times New Roman"/>
                <w:sz w:val="20"/>
                <w:szCs w:val="20"/>
              </w:rPr>
              <w:t>2.90</w:t>
            </w:r>
          </w:p>
        </w:tc>
      </w:tr>
      <w:tr w14:paraId="28DB0C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629" w:type="dxa"/>
          </w:tcPr>
          <w:p w14:paraId="5A0E93BA">
            <w:pPr>
              <w:spacing w:after="0" w:line="240" w:lineRule="auto"/>
              <w:rPr>
                <w:rFonts w:ascii="Times New Roman" w:hAnsi="Times New Roman" w:eastAsia="Times New Roman"/>
                <w:bCs/>
                <w:sz w:val="20"/>
                <w:szCs w:val="20"/>
                <w:lang w:val="en-US"/>
              </w:rPr>
            </w:pPr>
            <w:r>
              <w:rPr>
                <w:rFonts w:ascii="Times New Roman" w:hAnsi="Times New Roman" w:eastAsia="Times New Roman"/>
                <w:bCs/>
                <w:sz w:val="20"/>
                <w:szCs w:val="20"/>
                <w:lang w:val="en-US"/>
              </w:rPr>
              <w:t>ALP (iul)</w:t>
            </w:r>
          </w:p>
        </w:tc>
        <w:tc>
          <w:tcPr>
            <w:tcW w:w="1538" w:type="dxa"/>
          </w:tcPr>
          <w:p w14:paraId="6A08ADBE">
            <w:pPr>
              <w:spacing w:after="0" w:line="240" w:lineRule="auto"/>
              <w:jc w:val="center"/>
              <w:rPr>
                <w:rFonts w:ascii="Times New Roman" w:hAnsi="Times New Roman"/>
                <w:sz w:val="20"/>
                <w:szCs w:val="20"/>
              </w:rPr>
            </w:pPr>
            <w:r>
              <w:rPr>
                <w:rFonts w:ascii="Times New Roman" w:hAnsi="Times New Roman"/>
                <w:sz w:val="20"/>
                <w:szCs w:val="20"/>
              </w:rPr>
              <w:t>160.64</w:t>
            </w:r>
          </w:p>
        </w:tc>
        <w:tc>
          <w:tcPr>
            <w:tcW w:w="1548" w:type="dxa"/>
          </w:tcPr>
          <w:p w14:paraId="14519436">
            <w:pPr>
              <w:spacing w:after="0" w:line="240" w:lineRule="auto"/>
              <w:jc w:val="center"/>
              <w:rPr>
                <w:rFonts w:ascii="Times New Roman" w:hAnsi="Times New Roman"/>
                <w:sz w:val="20"/>
                <w:szCs w:val="20"/>
              </w:rPr>
            </w:pPr>
            <w:r>
              <w:rPr>
                <w:rFonts w:ascii="Times New Roman" w:hAnsi="Times New Roman"/>
                <w:sz w:val="20"/>
                <w:szCs w:val="20"/>
              </w:rPr>
              <w:t>172.36</w:t>
            </w:r>
          </w:p>
        </w:tc>
        <w:tc>
          <w:tcPr>
            <w:tcW w:w="1344" w:type="dxa"/>
          </w:tcPr>
          <w:p w14:paraId="18B18396">
            <w:pPr>
              <w:spacing w:after="0" w:line="240" w:lineRule="auto"/>
              <w:jc w:val="center"/>
              <w:rPr>
                <w:rFonts w:ascii="Times New Roman" w:hAnsi="Times New Roman"/>
                <w:sz w:val="20"/>
                <w:szCs w:val="20"/>
              </w:rPr>
            </w:pPr>
            <w:r>
              <w:rPr>
                <w:rFonts w:ascii="Times New Roman" w:hAnsi="Times New Roman"/>
                <w:sz w:val="20"/>
                <w:szCs w:val="20"/>
              </w:rPr>
              <w:t>168.50</w:t>
            </w:r>
          </w:p>
        </w:tc>
        <w:tc>
          <w:tcPr>
            <w:tcW w:w="2005" w:type="dxa"/>
          </w:tcPr>
          <w:p w14:paraId="1BF3BA0B">
            <w:pPr>
              <w:spacing w:after="0" w:line="240" w:lineRule="auto"/>
              <w:jc w:val="center"/>
              <w:rPr>
                <w:rFonts w:ascii="Times New Roman" w:hAnsi="Times New Roman"/>
                <w:sz w:val="20"/>
                <w:szCs w:val="20"/>
              </w:rPr>
            </w:pPr>
            <w:r>
              <w:rPr>
                <w:rFonts w:ascii="Times New Roman" w:hAnsi="Times New Roman"/>
                <w:sz w:val="20"/>
                <w:szCs w:val="20"/>
              </w:rPr>
              <w:t>161.27</w:t>
            </w:r>
          </w:p>
        </w:tc>
        <w:tc>
          <w:tcPr>
            <w:tcW w:w="1150" w:type="dxa"/>
          </w:tcPr>
          <w:p w14:paraId="3C92398A">
            <w:pPr>
              <w:spacing w:after="0" w:line="240" w:lineRule="auto"/>
              <w:jc w:val="center"/>
              <w:rPr>
                <w:rFonts w:ascii="Times New Roman" w:hAnsi="Times New Roman"/>
                <w:sz w:val="20"/>
                <w:szCs w:val="20"/>
              </w:rPr>
            </w:pPr>
            <w:r>
              <w:rPr>
                <w:rFonts w:ascii="Times New Roman" w:hAnsi="Times New Roman"/>
                <w:sz w:val="20"/>
                <w:szCs w:val="20"/>
              </w:rPr>
              <w:t>2.12</w:t>
            </w:r>
          </w:p>
        </w:tc>
      </w:tr>
      <w:tr w14:paraId="69CBF2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2629" w:type="dxa"/>
          </w:tcPr>
          <w:p w14:paraId="2E859372">
            <w:pPr>
              <w:spacing w:after="0" w:line="240" w:lineRule="auto"/>
              <w:rPr>
                <w:rFonts w:ascii="Times New Roman" w:hAnsi="Times New Roman" w:eastAsia="Times New Roman"/>
                <w:bCs/>
                <w:sz w:val="20"/>
                <w:szCs w:val="20"/>
                <w:lang w:val="en-US"/>
              </w:rPr>
            </w:pPr>
            <w:r>
              <w:rPr>
                <w:rFonts w:ascii="Times New Roman" w:hAnsi="Times New Roman" w:eastAsia="Times New Roman"/>
                <w:bCs/>
                <w:sz w:val="20"/>
                <w:szCs w:val="20"/>
                <w:lang w:val="en-US"/>
              </w:rPr>
              <w:t>Total protein (g/l)</w:t>
            </w:r>
          </w:p>
        </w:tc>
        <w:tc>
          <w:tcPr>
            <w:tcW w:w="1538" w:type="dxa"/>
          </w:tcPr>
          <w:p w14:paraId="6DDD3A85">
            <w:pPr>
              <w:spacing w:after="0" w:line="240" w:lineRule="auto"/>
              <w:jc w:val="center"/>
              <w:rPr>
                <w:rFonts w:ascii="Times New Roman" w:hAnsi="Times New Roman"/>
                <w:sz w:val="20"/>
                <w:szCs w:val="20"/>
              </w:rPr>
            </w:pPr>
            <w:r>
              <w:rPr>
                <w:rFonts w:ascii="Times New Roman" w:hAnsi="Times New Roman"/>
                <w:sz w:val="20"/>
                <w:szCs w:val="20"/>
              </w:rPr>
              <w:t>34.22</w:t>
            </w:r>
          </w:p>
        </w:tc>
        <w:tc>
          <w:tcPr>
            <w:tcW w:w="1548" w:type="dxa"/>
          </w:tcPr>
          <w:p w14:paraId="19B498FE">
            <w:pPr>
              <w:spacing w:after="0" w:line="240" w:lineRule="auto"/>
              <w:jc w:val="center"/>
              <w:rPr>
                <w:rFonts w:ascii="Times New Roman" w:hAnsi="Times New Roman"/>
                <w:sz w:val="20"/>
                <w:szCs w:val="20"/>
              </w:rPr>
            </w:pPr>
            <w:r>
              <w:rPr>
                <w:rFonts w:ascii="Times New Roman" w:hAnsi="Times New Roman"/>
                <w:sz w:val="20"/>
                <w:szCs w:val="20"/>
              </w:rPr>
              <w:t>32.83</w:t>
            </w:r>
          </w:p>
        </w:tc>
        <w:tc>
          <w:tcPr>
            <w:tcW w:w="1344" w:type="dxa"/>
          </w:tcPr>
          <w:p w14:paraId="6551D13B">
            <w:pPr>
              <w:spacing w:after="0" w:line="240" w:lineRule="auto"/>
              <w:jc w:val="center"/>
              <w:rPr>
                <w:rFonts w:ascii="Times New Roman" w:hAnsi="Times New Roman"/>
                <w:sz w:val="20"/>
                <w:szCs w:val="20"/>
              </w:rPr>
            </w:pPr>
            <w:r>
              <w:rPr>
                <w:rFonts w:ascii="Times New Roman" w:hAnsi="Times New Roman"/>
                <w:sz w:val="20"/>
                <w:szCs w:val="20"/>
              </w:rPr>
              <w:t>37.90</w:t>
            </w:r>
          </w:p>
        </w:tc>
        <w:tc>
          <w:tcPr>
            <w:tcW w:w="2005" w:type="dxa"/>
          </w:tcPr>
          <w:p w14:paraId="080C9D04">
            <w:pPr>
              <w:spacing w:after="0" w:line="240" w:lineRule="auto"/>
              <w:jc w:val="center"/>
              <w:rPr>
                <w:rFonts w:ascii="Times New Roman" w:hAnsi="Times New Roman"/>
                <w:sz w:val="20"/>
                <w:szCs w:val="20"/>
              </w:rPr>
            </w:pPr>
            <w:r>
              <w:rPr>
                <w:rFonts w:ascii="Times New Roman" w:hAnsi="Times New Roman"/>
                <w:sz w:val="20"/>
                <w:szCs w:val="20"/>
              </w:rPr>
              <w:t>34.62</w:t>
            </w:r>
          </w:p>
        </w:tc>
        <w:tc>
          <w:tcPr>
            <w:tcW w:w="1150" w:type="dxa"/>
          </w:tcPr>
          <w:p w14:paraId="49BC5C21">
            <w:pPr>
              <w:spacing w:after="0" w:line="240" w:lineRule="auto"/>
              <w:jc w:val="center"/>
              <w:rPr>
                <w:rFonts w:ascii="Times New Roman" w:hAnsi="Times New Roman"/>
                <w:sz w:val="20"/>
                <w:szCs w:val="20"/>
              </w:rPr>
            </w:pPr>
            <w:r>
              <w:rPr>
                <w:rFonts w:ascii="Times New Roman" w:hAnsi="Times New Roman"/>
                <w:sz w:val="20"/>
                <w:szCs w:val="20"/>
              </w:rPr>
              <w:t>1.00</w:t>
            </w:r>
          </w:p>
        </w:tc>
      </w:tr>
      <w:tr w14:paraId="7003A9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2629" w:type="dxa"/>
          </w:tcPr>
          <w:p w14:paraId="2EA7D617">
            <w:pPr>
              <w:spacing w:after="0" w:line="240" w:lineRule="auto"/>
              <w:rPr>
                <w:rFonts w:ascii="Times New Roman" w:hAnsi="Times New Roman" w:eastAsia="Times New Roman"/>
                <w:bCs/>
                <w:sz w:val="20"/>
                <w:szCs w:val="20"/>
                <w:lang w:val="en-US"/>
              </w:rPr>
            </w:pPr>
            <w:r>
              <w:rPr>
                <w:rFonts w:ascii="Times New Roman" w:hAnsi="Times New Roman" w:eastAsia="Times New Roman"/>
                <w:bCs/>
                <w:sz w:val="20"/>
                <w:szCs w:val="20"/>
                <w:lang w:val="en-US"/>
              </w:rPr>
              <w:t>Albumin (g/l)</w:t>
            </w:r>
          </w:p>
        </w:tc>
        <w:tc>
          <w:tcPr>
            <w:tcW w:w="1538" w:type="dxa"/>
          </w:tcPr>
          <w:p w14:paraId="4C1EBB63">
            <w:pPr>
              <w:spacing w:after="0" w:line="240" w:lineRule="auto"/>
              <w:jc w:val="center"/>
              <w:rPr>
                <w:rFonts w:ascii="Times New Roman" w:hAnsi="Times New Roman"/>
                <w:sz w:val="20"/>
                <w:szCs w:val="20"/>
              </w:rPr>
            </w:pPr>
            <w:r>
              <w:rPr>
                <w:rFonts w:ascii="Times New Roman" w:hAnsi="Times New Roman"/>
                <w:sz w:val="20"/>
                <w:szCs w:val="20"/>
              </w:rPr>
              <w:t>15.07</w:t>
            </w:r>
            <w:r>
              <w:rPr>
                <w:rFonts w:ascii="Times New Roman" w:hAnsi="Times New Roman"/>
                <w:sz w:val="20"/>
                <w:szCs w:val="20"/>
                <w:vertAlign w:val="superscript"/>
              </w:rPr>
              <w:t>ab</w:t>
            </w:r>
          </w:p>
        </w:tc>
        <w:tc>
          <w:tcPr>
            <w:tcW w:w="1548" w:type="dxa"/>
          </w:tcPr>
          <w:p w14:paraId="5D4E7519">
            <w:pPr>
              <w:spacing w:after="0" w:line="240" w:lineRule="auto"/>
              <w:jc w:val="center"/>
              <w:rPr>
                <w:rFonts w:ascii="Times New Roman" w:hAnsi="Times New Roman"/>
                <w:sz w:val="20"/>
                <w:szCs w:val="20"/>
              </w:rPr>
            </w:pPr>
            <w:r>
              <w:rPr>
                <w:rFonts w:ascii="Times New Roman" w:hAnsi="Times New Roman"/>
                <w:sz w:val="20"/>
                <w:szCs w:val="20"/>
              </w:rPr>
              <w:t>14.91</w:t>
            </w:r>
            <w:r>
              <w:rPr>
                <w:rFonts w:ascii="Times New Roman" w:hAnsi="Times New Roman"/>
                <w:sz w:val="20"/>
                <w:szCs w:val="20"/>
                <w:vertAlign w:val="superscript"/>
              </w:rPr>
              <w:t>b</w:t>
            </w:r>
          </w:p>
        </w:tc>
        <w:tc>
          <w:tcPr>
            <w:tcW w:w="1344" w:type="dxa"/>
          </w:tcPr>
          <w:p w14:paraId="4E659D0D">
            <w:pPr>
              <w:spacing w:after="0" w:line="240" w:lineRule="auto"/>
              <w:jc w:val="center"/>
              <w:rPr>
                <w:rFonts w:ascii="Times New Roman" w:hAnsi="Times New Roman"/>
                <w:sz w:val="20"/>
                <w:szCs w:val="20"/>
              </w:rPr>
            </w:pPr>
            <w:r>
              <w:rPr>
                <w:rFonts w:ascii="Times New Roman" w:hAnsi="Times New Roman"/>
                <w:sz w:val="20"/>
                <w:szCs w:val="20"/>
              </w:rPr>
              <w:t>16.39</w:t>
            </w:r>
            <w:r>
              <w:rPr>
                <w:rFonts w:ascii="Times New Roman" w:hAnsi="Times New Roman"/>
                <w:sz w:val="20"/>
                <w:szCs w:val="20"/>
                <w:vertAlign w:val="superscript"/>
              </w:rPr>
              <w:t>a</w:t>
            </w:r>
          </w:p>
        </w:tc>
        <w:tc>
          <w:tcPr>
            <w:tcW w:w="2005" w:type="dxa"/>
          </w:tcPr>
          <w:p w14:paraId="54F1615B">
            <w:pPr>
              <w:spacing w:after="0" w:line="240" w:lineRule="auto"/>
              <w:jc w:val="center"/>
              <w:rPr>
                <w:rFonts w:ascii="Times New Roman" w:hAnsi="Times New Roman"/>
                <w:sz w:val="20"/>
                <w:szCs w:val="20"/>
              </w:rPr>
            </w:pPr>
            <w:r>
              <w:rPr>
                <w:rFonts w:ascii="Times New Roman" w:hAnsi="Times New Roman"/>
                <w:sz w:val="20"/>
                <w:szCs w:val="20"/>
              </w:rPr>
              <w:t>15.94</w:t>
            </w:r>
            <w:r>
              <w:rPr>
                <w:rFonts w:ascii="Times New Roman" w:hAnsi="Times New Roman"/>
                <w:sz w:val="20"/>
                <w:szCs w:val="20"/>
                <w:vertAlign w:val="superscript"/>
              </w:rPr>
              <w:t>ab</w:t>
            </w:r>
          </w:p>
        </w:tc>
        <w:tc>
          <w:tcPr>
            <w:tcW w:w="1150" w:type="dxa"/>
          </w:tcPr>
          <w:p w14:paraId="3104C71C">
            <w:pPr>
              <w:spacing w:after="0" w:line="240" w:lineRule="auto"/>
              <w:jc w:val="center"/>
              <w:rPr>
                <w:rFonts w:ascii="Times New Roman" w:hAnsi="Times New Roman"/>
                <w:sz w:val="20"/>
                <w:szCs w:val="20"/>
              </w:rPr>
            </w:pPr>
            <w:r>
              <w:rPr>
                <w:rFonts w:ascii="Times New Roman" w:hAnsi="Times New Roman"/>
                <w:sz w:val="20"/>
                <w:szCs w:val="20"/>
              </w:rPr>
              <w:t>0.24</w:t>
            </w:r>
          </w:p>
        </w:tc>
      </w:tr>
      <w:tr w14:paraId="481FB0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2629" w:type="dxa"/>
          </w:tcPr>
          <w:p w14:paraId="078291DD">
            <w:pPr>
              <w:spacing w:after="0" w:line="240" w:lineRule="auto"/>
              <w:rPr>
                <w:rFonts w:ascii="Times New Roman" w:hAnsi="Times New Roman" w:eastAsia="Times New Roman"/>
                <w:bCs/>
                <w:sz w:val="20"/>
                <w:szCs w:val="20"/>
                <w:lang w:val="en-US"/>
              </w:rPr>
            </w:pPr>
            <w:r>
              <w:rPr>
                <w:rFonts w:ascii="Times New Roman" w:hAnsi="Times New Roman" w:eastAsia="Times New Roman"/>
                <w:bCs/>
                <w:sz w:val="20"/>
                <w:szCs w:val="20"/>
                <w:lang w:val="en-US"/>
              </w:rPr>
              <w:t>Globulin (g/l)</w:t>
            </w:r>
          </w:p>
        </w:tc>
        <w:tc>
          <w:tcPr>
            <w:tcW w:w="1538" w:type="dxa"/>
          </w:tcPr>
          <w:p w14:paraId="4C417E30">
            <w:pPr>
              <w:spacing w:after="0" w:line="240" w:lineRule="auto"/>
              <w:jc w:val="center"/>
              <w:rPr>
                <w:rFonts w:ascii="Times New Roman" w:hAnsi="Times New Roman"/>
                <w:sz w:val="20"/>
                <w:szCs w:val="20"/>
              </w:rPr>
            </w:pPr>
            <w:r>
              <w:rPr>
                <w:rFonts w:ascii="Times New Roman" w:hAnsi="Times New Roman"/>
                <w:sz w:val="20"/>
                <w:szCs w:val="20"/>
              </w:rPr>
              <w:t>19.14</w:t>
            </w:r>
          </w:p>
        </w:tc>
        <w:tc>
          <w:tcPr>
            <w:tcW w:w="1548" w:type="dxa"/>
          </w:tcPr>
          <w:p w14:paraId="555C238E">
            <w:pPr>
              <w:spacing w:after="0" w:line="240" w:lineRule="auto"/>
              <w:jc w:val="center"/>
              <w:rPr>
                <w:rFonts w:ascii="Times New Roman" w:hAnsi="Times New Roman"/>
                <w:sz w:val="20"/>
                <w:szCs w:val="20"/>
              </w:rPr>
            </w:pPr>
            <w:r>
              <w:rPr>
                <w:rFonts w:ascii="Times New Roman" w:hAnsi="Times New Roman"/>
                <w:sz w:val="20"/>
                <w:szCs w:val="20"/>
              </w:rPr>
              <w:t>17.91</w:t>
            </w:r>
          </w:p>
        </w:tc>
        <w:tc>
          <w:tcPr>
            <w:tcW w:w="1344" w:type="dxa"/>
          </w:tcPr>
          <w:p w14:paraId="057277E8">
            <w:pPr>
              <w:spacing w:after="0" w:line="240" w:lineRule="auto"/>
              <w:jc w:val="center"/>
              <w:rPr>
                <w:rFonts w:ascii="Times New Roman" w:hAnsi="Times New Roman"/>
                <w:sz w:val="20"/>
                <w:szCs w:val="20"/>
              </w:rPr>
            </w:pPr>
            <w:r>
              <w:rPr>
                <w:rFonts w:ascii="Times New Roman" w:hAnsi="Times New Roman"/>
                <w:sz w:val="20"/>
                <w:szCs w:val="20"/>
              </w:rPr>
              <w:t>21.51</w:t>
            </w:r>
          </w:p>
        </w:tc>
        <w:tc>
          <w:tcPr>
            <w:tcW w:w="2005" w:type="dxa"/>
          </w:tcPr>
          <w:p w14:paraId="2749E42B">
            <w:pPr>
              <w:spacing w:after="0" w:line="240" w:lineRule="auto"/>
              <w:jc w:val="center"/>
              <w:rPr>
                <w:rFonts w:ascii="Times New Roman" w:hAnsi="Times New Roman"/>
                <w:sz w:val="20"/>
                <w:szCs w:val="20"/>
              </w:rPr>
            </w:pPr>
            <w:r>
              <w:rPr>
                <w:rFonts w:ascii="Times New Roman" w:hAnsi="Times New Roman"/>
                <w:sz w:val="20"/>
                <w:szCs w:val="20"/>
              </w:rPr>
              <w:t>18.67</w:t>
            </w:r>
          </w:p>
        </w:tc>
        <w:tc>
          <w:tcPr>
            <w:tcW w:w="1150" w:type="dxa"/>
          </w:tcPr>
          <w:p w14:paraId="2111CA48">
            <w:pPr>
              <w:spacing w:after="0" w:line="240" w:lineRule="auto"/>
              <w:jc w:val="center"/>
              <w:rPr>
                <w:rFonts w:ascii="Times New Roman" w:hAnsi="Times New Roman"/>
                <w:sz w:val="20"/>
                <w:szCs w:val="20"/>
              </w:rPr>
            </w:pPr>
            <w:r>
              <w:rPr>
                <w:rFonts w:ascii="Times New Roman" w:hAnsi="Times New Roman"/>
                <w:sz w:val="20"/>
                <w:szCs w:val="20"/>
              </w:rPr>
              <w:t>0.88</w:t>
            </w:r>
          </w:p>
        </w:tc>
      </w:tr>
      <w:tr w14:paraId="070B0C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2629" w:type="dxa"/>
            <w:tcBorders>
              <w:bottom w:val="single" w:color="auto" w:sz="4" w:space="0"/>
            </w:tcBorders>
          </w:tcPr>
          <w:p w14:paraId="376C678F">
            <w:pPr>
              <w:spacing w:after="0" w:line="240" w:lineRule="auto"/>
              <w:rPr>
                <w:rFonts w:ascii="Times New Roman" w:hAnsi="Times New Roman" w:eastAsia="Times New Roman"/>
                <w:sz w:val="20"/>
                <w:szCs w:val="20"/>
                <w:lang w:val="en-US"/>
              </w:rPr>
            </w:pPr>
            <w:r>
              <w:rPr>
                <w:rFonts w:ascii="Times New Roman" w:hAnsi="Times New Roman" w:eastAsia="Times New Roman"/>
                <w:sz w:val="20"/>
                <w:szCs w:val="20"/>
                <w:lang w:val="en-US"/>
              </w:rPr>
              <w:t>CHOL (mmol/L)</w:t>
            </w:r>
          </w:p>
        </w:tc>
        <w:tc>
          <w:tcPr>
            <w:tcW w:w="1538" w:type="dxa"/>
            <w:tcBorders>
              <w:bottom w:val="single" w:color="auto" w:sz="4" w:space="0"/>
            </w:tcBorders>
          </w:tcPr>
          <w:p w14:paraId="74823AFE">
            <w:pPr>
              <w:spacing w:after="0" w:line="240" w:lineRule="auto"/>
              <w:jc w:val="center"/>
              <w:rPr>
                <w:rFonts w:ascii="Times New Roman" w:hAnsi="Times New Roman"/>
                <w:sz w:val="20"/>
                <w:szCs w:val="20"/>
              </w:rPr>
            </w:pPr>
            <w:r>
              <w:rPr>
                <w:rFonts w:ascii="Times New Roman" w:hAnsi="Times New Roman"/>
                <w:sz w:val="20"/>
                <w:szCs w:val="20"/>
              </w:rPr>
              <w:t>2.74</w:t>
            </w:r>
          </w:p>
        </w:tc>
        <w:tc>
          <w:tcPr>
            <w:tcW w:w="1548" w:type="dxa"/>
            <w:tcBorders>
              <w:bottom w:val="single" w:color="auto" w:sz="4" w:space="0"/>
            </w:tcBorders>
          </w:tcPr>
          <w:p w14:paraId="19C914EB">
            <w:pPr>
              <w:spacing w:after="0" w:line="240" w:lineRule="auto"/>
              <w:jc w:val="center"/>
              <w:rPr>
                <w:rFonts w:ascii="Times New Roman" w:hAnsi="Times New Roman"/>
                <w:sz w:val="20"/>
                <w:szCs w:val="20"/>
              </w:rPr>
            </w:pPr>
            <w:r>
              <w:rPr>
                <w:rFonts w:ascii="Times New Roman" w:hAnsi="Times New Roman"/>
                <w:sz w:val="20"/>
                <w:szCs w:val="20"/>
              </w:rPr>
              <w:t>2.81</w:t>
            </w:r>
          </w:p>
        </w:tc>
        <w:tc>
          <w:tcPr>
            <w:tcW w:w="1344" w:type="dxa"/>
            <w:tcBorders>
              <w:bottom w:val="single" w:color="auto" w:sz="4" w:space="0"/>
            </w:tcBorders>
          </w:tcPr>
          <w:p w14:paraId="58E7C21E">
            <w:pPr>
              <w:spacing w:after="0" w:line="240" w:lineRule="auto"/>
              <w:jc w:val="center"/>
              <w:rPr>
                <w:rFonts w:ascii="Times New Roman" w:hAnsi="Times New Roman"/>
                <w:sz w:val="20"/>
                <w:szCs w:val="20"/>
              </w:rPr>
            </w:pPr>
            <w:r>
              <w:rPr>
                <w:rFonts w:ascii="Times New Roman" w:hAnsi="Times New Roman"/>
                <w:sz w:val="20"/>
                <w:szCs w:val="20"/>
              </w:rPr>
              <w:t>2.69</w:t>
            </w:r>
          </w:p>
        </w:tc>
        <w:tc>
          <w:tcPr>
            <w:tcW w:w="2005" w:type="dxa"/>
            <w:tcBorders>
              <w:bottom w:val="single" w:color="auto" w:sz="4" w:space="0"/>
            </w:tcBorders>
          </w:tcPr>
          <w:p w14:paraId="5CB2D9AF">
            <w:pPr>
              <w:spacing w:after="0" w:line="240" w:lineRule="auto"/>
              <w:jc w:val="center"/>
              <w:rPr>
                <w:rFonts w:ascii="Times New Roman" w:hAnsi="Times New Roman"/>
                <w:sz w:val="20"/>
                <w:szCs w:val="20"/>
              </w:rPr>
            </w:pPr>
            <w:r>
              <w:rPr>
                <w:rFonts w:ascii="Times New Roman" w:hAnsi="Times New Roman"/>
                <w:sz w:val="20"/>
                <w:szCs w:val="20"/>
              </w:rPr>
              <w:t>3.13</w:t>
            </w:r>
          </w:p>
        </w:tc>
        <w:tc>
          <w:tcPr>
            <w:tcW w:w="1150" w:type="dxa"/>
            <w:tcBorders>
              <w:bottom w:val="single" w:color="auto" w:sz="4" w:space="0"/>
            </w:tcBorders>
          </w:tcPr>
          <w:p w14:paraId="6F87F08F">
            <w:pPr>
              <w:spacing w:after="0" w:line="240" w:lineRule="auto"/>
              <w:jc w:val="center"/>
              <w:rPr>
                <w:rFonts w:ascii="Times New Roman" w:hAnsi="Times New Roman"/>
                <w:sz w:val="20"/>
                <w:szCs w:val="20"/>
              </w:rPr>
            </w:pPr>
            <w:r>
              <w:rPr>
                <w:rFonts w:ascii="Times New Roman" w:hAnsi="Times New Roman"/>
                <w:sz w:val="20"/>
                <w:szCs w:val="20"/>
              </w:rPr>
              <w:t>0.76</w:t>
            </w:r>
          </w:p>
        </w:tc>
      </w:tr>
      <w:tr w14:paraId="143299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4" w:hRule="atLeast"/>
        </w:trPr>
        <w:tc>
          <w:tcPr>
            <w:tcW w:w="10215" w:type="dxa"/>
            <w:gridSpan w:val="6"/>
            <w:tcBorders>
              <w:top w:val="single" w:color="auto" w:sz="4" w:space="0"/>
              <w:bottom w:val="nil"/>
            </w:tcBorders>
          </w:tcPr>
          <w:p w14:paraId="1B3C2632">
            <w:pPr>
              <w:spacing w:after="0" w:line="240" w:lineRule="auto"/>
              <w:jc w:val="both"/>
              <w:rPr>
                <w:rFonts w:ascii="Times New Roman" w:hAnsi="Times New Roman"/>
                <w:sz w:val="20"/>
                <w:szCs w:val="20"/>
              </w:rPr>
            </w:pPr>
            <w:r>
              <w:rPr>
                <w:rFonts w:ascii="Times New Roman" w:hAnsi="Times New Roman"/>
                <w:b/>
                <w:bCs/>
                <w:sz w:val="18"/>
                <w:szCs w:val="18"/>
                <w:vertAlign w:val="superscript"/>
              </w:rPr>
              <w:t>abc</w:t>
            </w:r>
            <w:r>
              <w:rPr>
                <w:rFonts w:ascii="Times New Roman" w:hAnsi="Times New Roman"/>
                <w:b/>
                <w:bCs/>
                <w:sz w:val="18"/>
                <w:szCs w:val="18"/>
              </w:rPr>
              <w:t xml:space="preserve"> Means on the same row with different superscript are significantly(P&gt;0.05) different. </w:t>
            </w:r>
            <w:r>
              <w:rPr>
                <w:rFonts w:ascii="Times New Roman" w:hAnsi="Times New Roman" w:eastAsia="Times New Roman"/>
                <w:b/>
                <w:sz w:val="18"/>
                <w:szCs w:val="18"/>
              </w:rPr>
              <w:t>T1: Control diet, T2–Thorn apple fruit (2g of fruit per kg of feed), T3–Thorn apple leaf (2g of leaf per kg of feed) and T4–Thorn apple fruit and leaf (1g of fruit and 1g of leaf per kg of feed)</w:t>
            </w:r>
            <w:r>
              <w:rPr>
                <w:rFonts w:ascii="Times New Roman" w:hAnsi="Times New Roman"/>
                <w:b/>
                <w:sz w:val="18"/>
                <w:szCs w:val="18"/>
              </w:rPr>
              <w:t>. AST-</w:t>
            </w:r>
            <w:r>
              <w:rPr>
                <w:rFonts w:ascii="Times New Roman" w:hAnsi="Times New Roman"/>
                <w:b/>
                <w:bCs/>
                <w:sz w:val="18"/>
                <w:szCs w:val="18"/>
              </w:rPr>
              <w:t xml:space="preserve"> Aspartate aminotransferase, ALT-</w:t>
            </w:r>
            <w:r>
              <w:rPr>
                <w:rFonts w:ascii="Times New Roman" w:hAnsi="Times New Roman"/>
                <w:b/>
                <w:bCs/>
                <w:sz w:val="18"/>
                <w:szCs w:val="18"/>
                <w:lang w:val="en-US"/>
              </w:rPr>
              <w:t>Alanine transaminase</w:t>
            </w:r>
            <w:r>
              <w:rPr>
                <w:rFonts w:ascii="Times New Roman" w:hAnsi="Times New Roman"/>
                <w:b/>
                <w:bCs/>
                <w:sz w:val="18"/>
                <w:szCs w:val="18"/>
              </w:rPr>
              <w:t>, ALP- Alkaline phosphate CHOL-</w:t>
            </w:r>
            <w:r>
              <w:rPr>
                <w:rFonts w:ascii="Times New Roman" w:hAnsi="Times New Roman"/>
                <w:b/>
                <w:bCs/>
                <w:sz w:val="18"/>
                <w:szCs w:val="18"/>
                <w:lang w:val="en-US"/>
              </w:rPr>
              <w:t>Cholesterol</w:t>
            </w:r>
          </w:p>
        </w:tc>
      </w:tr>
    </w:tbl>
    <w:p w14:paraId="3FBC905F">
      <w:pPr>
        <w:spacing w:after="0"/>
        <w:jc w:val="both"/>
        <w:rPr>
          <w:rFonts w:ascii="Times New Roman" w:hAnsi="Times New Roman" w:cs="Times New Roman"/>
          <w:b/>
          <w:sz w:val="20"/>
          <w:szCs w:val="20"/>
        </w:rPr>
      </w:pPr>
    </w:p>
    <w:tbl>
      <w:tblPr>
        <w:tblStyle w:val="4"/>
        <w:tblpPr w:leftFromText="180" w:rightFromText="180" w:vertAnchor="text" w:horzAnchor="margin" w:tblpY="5423"/>
        <w:tblW w:w="1022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22"/>
        <w:gridCol w:w="1572"/>
        <w:gridCol w:w="1439"/>
        <w:gridCol w:w="1373"/>
        <w:gridCol w:w="1851"/>
        <w:gridCol w:w="1270"/>
      </w:tblGrid>
      <w:tr w14:paraId="4C46A6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0227" w:type="dxa"/>
            <w:gridSpan w:val="6"/>
            <w:tcBorders>
              <w:top w:val="nil"/>
              <w:bottom w:val="single" w:color="auto" w:sz="4" w:space="0"/>
            </w:tcBorders>
          </w:tcPr>
          <w:p w14:paraId="604C9C8D">
            <w:pPr>
              <w:spacing w:after="0"/>
              <w:jc w:val="both"/>
              <w:rPr>
                <w:rFonts w:ascii="Times New Roman" w:hAnsi="Times New Roman"/>
                <w:b/>
                <w:bCs/>
                <w:sz w:val="20"/>
                <w:szCs w:val="20"/>
              </w:rPr>
            </w:pPr>
            <w:r>
              <w:rPr>
                <w:rFonts w:ascii="Times New Roman" w:hAnsi="Times New Roman"/>
                <w:b/>
                <w:sz w:val="20"/>
                <w:szCs w:val="20"/>
              </w:rPr>
              <w:t xml:space="preserve">TABLE VI:  NUTRIENT DIGESTIBILITY OF </w:t>
            </w:r>
            <w:r>
              <w:rPr>
                <w:rFonts w:ascii="Times New Roman" w:hAnsi="Times New Roman"/>
                <w:b/>
                <w:bCs/>
                <w:sz w:val="20"/>
                <w:szCs w:val="20"/>
              </w:rPr>
              <w:t>BROILER CHICKENS FED DIETS CONTAINING VARYING LEVEL OF THORN APPLE FRUIT, LEAF AND THEIR BLEND</w:t>
            </w:r>
          </w:p>
        </w:tc>
      </w:tr>
      <w:tr w14:paraId="0D499C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2722" w:type="dxa"/>
            <w:tcBorders>
              <w:top w:val="single" w:color="auto" w:sz="4" w:space="0"/>
              <w:bottom w:val="single" w:color="auto" w:sz="4" w:space="0"/>
            </w:tcBorders>
          </w:tcPr>
          <w:p w14:paraId="165B7241">
            <w:pPr>
              <w:pStyle w:val="14"/>
              <w:spacing w:before="0" w:beforeAutospacing="0" w:after="120" w:line="276" w:lineRule="auto"/>
              <w:rPr>
                <w:b/>
                <w:sz w:val="20"/>
                <w:szCs w:val="20"/>
              </w:rPr>
            </w:pPr>
            <w:r>
              <w:rPr>
                <w:b/>
                <w:sz w:val="20"/>
                <w:szCs w:val="20"/>
              </w:rPr>
              <w:t>Parameters (%)</w:t>
            </w:r>
          </w:p>
        </w:tc>
        <w:tc>
          <w:tcPr>
            <w:tcW w:w="1572" w:type="dxa"/>
            <w:tcBorders>
              <w:top w:val="single" w:color="auto" w:sz="4" w:space="0"/>
              <w:bottom w:val="single" w:color="auto" w:sz="4" w:space="0"/>
            </w:tcBorders>
          </w:tcPr>
          <w:p w14:paraId="2BA8991F">
            <w:pPr>
              <w:pStyle w:val="14"/>
              <w:spacing w:before="0" w:beforeAutospacing="0" w:after="120" w:line="276" w:lineRule="auto"/>
              <w:rPr>
                <w:sz w:val="20"/>
                <w:szCs w:val="20"/>
              </w:rPr>
            </w:pPr>
            <w:r>
              <w:rPr>
                <w:rFonts w:eastAsia="SimSun"/>
                <w:b/>
                <w:sz w:val="20"/>
                <w:szCs w:val="20"/>
              </w:rPr>
              <w:t>Control</w:t>
            </w:r>
          </w:p>
        </w:tc>
        <w:tc>
          <w:tcPr>
            <w:tcW w:w="1439" w:type="dxa"/>
            <w:tcBorders>
              <w:top w:val="single" w:color="auto" w:sz="4" w:space="0"/>
              <w:bottom w:val="single" w:color="auto" w:sz="4" w:space="0"/>
            </w:tcBorders>
          </w:tcPr>
          <w:p w14:paraId="3B6AA655">
            <w:pPr>
              <w:pStyle w:val="14"/>
              <w:spacing w:before="0" w:beforeAutospacing="0" w:after="120" w:line="276" w:lineRule="auto"/>
              <w:rPr>
                <w:sz w:val="20"/>
                <w:szCs w:val="20"/>
              </w:rPr>
            </w:pPr>
            <w:r>
              <w:rPr>
                <w:rFonts w:eastAsia="SimSun"/>
                <w:b/>
                <w:sz w:val="20"/>
                <w:szCs w:val="20"/>
              </w:rPr>
              <w:t>Fruit</w:t>
            </w:r>
          </w:p>
        </w:tc>
        <w:tc>
          <w:tcPr>
            <w:tcW w:w="1373" w:type="dxa"/>
            <w:tcBorders>
              <w:top w:val="single" w:color="auto" w:sz="4" w:space="0"/>
              <w:bottom w:val="single" w:color="auto" w:sz="4" w:space="0"/>
            </w:tcBorders>
          </w:tcPr>
          <w:p w14:paraId="2BD3209F">
            <w:pPr>
              <w:pStyle w:val="14"/>
              <w:spacing w:before="0" w:beforeAutospacing="0" w:after="120" w:line="276" w:lineRule="auto"/>
              <w:rPr>
                <w:sz w:val="20"/>
                <w:szCs w:val="20"/>
              </w:rPr>
            </w:pPr>
            <w:r>
              <w:rPr>
                <w:rFonts w:eastAsia="SimSun"/>
                <w:b/>
                <w:sz w:val="20"/>
                <w:szCs w:val="20"/>
              </w:rPr>
              <w:t>Leaf</w:t>
            </w:r>
          </w:p>
        </w:tc>
        <w:tc>
          <w:tcPr>
            <w:tcW w:w="1851" w:type="dxa"/>
            <w:tcBorders>
              <w:top w:val="single" w:color="auto" w:sz="4" w:space="0"/>
              <w:bottom w:val="single" w:color="auto" w:sz="4" w:space="0"/>
            </w:tcBorders>
          </w:tcPr>
          <w:p w14:paraId="7ACD6487">
            <w:pPr>
              <w:pStyle w:val="14"/>
              <w:spacing w:before="0" w:beforeAutospacing="0" w:after="120" w:line="276" w:lineRule="auto"/>
              <w:rPr>
                <w:sz w:val="20"/>
                <w:szCs w:val="20"/>
              </w:rPr>
            </w:pPr>
            <w:r>
              <w:rPr>
                <w:rFonts w:eastAsia="SimSun"/>
                <w:b/>
                <w:sz w:val="20"/>
                <w:szCs w:val="20"/>
              </w:rPr>
              <w:t>Leaf+Fruit</w:t>
            </w:r>
          </w:p>
        </w:tc>
        <w:tc>
          <w:tcPr>
            <w:tcW w:w="1270" w:type="dxa"/>
            <w:tcBorders>
              <w:top w:val="single" w:color="auto" w:sz="4" w:space="0"/>
              <w:bottom w:val="single" w:color="auto" w:sz="4" w:space="0"/>
            </w:tcBorders>
          </w:tcPr>
          <w:p w14:paraId="244641BF">
            <w:pPr>
              <w:pStyle w:val="14"/>
              <w:spacing w:before="0" w:beforeAutospacing="0" w:after="120" w:line="276" w:lineRule="auto"/>
              <w:rPr>
                <w:b/>
                <w:sz w:val="20"/>
                <w:szCs w:val="20"/>
              </w:rPr>
            </w:pPr>
            <w:r>
              <w:rPr>
                <w:b/>
                <w:sz w:val="20"/>
                <w:szCs w:val="20"/>
              </w:rPr>
              <w:t>SEM</w:t>
            </w:r>
          </w:p>
        </w:tc>
      </w:tr>
      <w:tr w14:paraId="14CDA9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722" w:type="dxa"/>
            <w:tcBorders>
              <w:top w:val="single" w:color="auto" w:sz="4" w:space="0"/>
            </w:tcBorders>
          </w:tcPr>
          <w:p w14:paraId="2B73D586">
            <w:pPr>
              <w:spacing w:after="0"/>
              <w:jc w:val="both"/>
              <w:rPr>
                <w:rFonts w:ascii="Times New Roman" w:hAnsi="Times New Roman" w:eastAsia="SimSun"/>
                <w:sz w:val="18"/>
                <w:szCs w:val="18"/>
              </w:rPr>
            </w:pPr>
            <w:r>
              <w:rPr>
                <w:rFonts w:ascii="Times New Roman" w:hAnsi="Times New Roman" w:eastAsia="SimSun"/>
                <w:sz w:val="18"/>
                <w:szCs w:val="18"/>
              </w:rPr>
              <w:t>Crude Protein</w:t>
            </w:r>
          </w:p>
        </w:tc>
        <w:tc>
          <w:tcPr>
            <w:tcW w:w="1572" w:type="dxa"/>
            <w:tcBorders>
              <w:top w:val="single" w:color="auto" w:sz="4" w:space="0"/>
            </w:tcBorders>
          </w:tcPr>
          <w:p w14:paraId="4CDE0AEC">
            <w:pPr>
              <w:spacing w:after="0"/>
              <w:jc w:val="both"/>
              <w:rPr>
                <w:rFonts w:ascii="Times New Roman" w:hAnsi="Times New Roman"/>
                <w:sz w:val="20"/>
                <w:szCs w:val="20"/>
              </w:rPr>
            </w:pPr>
            <w:r>
              <w:rPr>
                <w:rFonts w:ascii="Times New Roman" w:hAnsi="Times New Roman"/>
                <w:sz w:val="20"/>
                <w:szCs w:val="20"/>
              </w:rPr>
              <w:t>57.42</w:t>
            </w:r>
            <w:r>
              <w:rPr>
                <w:rFonts w:ascii="Times New Roman" w:hAnsi="Times New Roman"/>
                <w:sz w:val="20"/>
                <w:szCs w:val="20"/>
                <w:vertAlign w:val="superscript"/>
              </w:rPr>
              <w:t>c</w:t>
            </w:r>
          </w:p>
        </w:tc>
        <w:tc>
          <w:tcPr>
            <w:tcW w:w="1439" w:type="dxa"/>
            <w:tcBorders>
              <w:top w:val="single" w:color="auto" w:sz="4" w:space="0"/>
            </w:tcBorders>
          </w:tcPr>
          <w:p w14:paraId="129E8C8D">
            <w:pPr>
              <w:spacing w:after="0"/>
              <w:jc w:val="both"/>
              <w:rPr>
                <w:rFonts w:ascii="Times New Roman" w:hAnsi="Times New Roman"/>
                <w:sz w:val="20"/>
                <w:szCs w:val="20"/>
              </w:rPr>
            </w:pPr>
            <w:r>
              <w:rPr>
                <w:rFonts w:ascii="Times New Roman" w:hAnsi="Times New Roman"/>
                <w:sz w:val="20"/>
                <w:szCs w:val="20"/>
              </w:rPr>
              <w:t>68.52</w:t>
            </w:r>
            <w:r>
              <w:rPr>
                <w:rFonts w:ascii="Times New Roman" w:hAnsi="Times New Roman"/>
                <w:sz w:val="20"/>
                <w:szCs w:val="20"/>
                <w:vertAlign w:val="superscript"/>
              </w:rPr>
              <w:t>b</w:t>
            </w:r>
          </w:p>
        </w:tc>
        <w:tc>
          <w:tcPr>
            <w:tcW w:w="1373" w:type="dxa"/>
            <w:tcBorders>
              <w:top w:val="single" w:color="auto" w:sz="4" w:space="0"/>
            </w:tcBorders>
          </w:tcPr>
          <w:p w14:paraId="159C75BD">
            <w:pPr>
              <w:spacing w:after="0"/>
              <w:jc w:val="both"/>
              <w:rPr>
                <w:rFonts w:ascii="Times New Roman" w:hAnsi="Times New Roman"/>
                <w:sz w:val="20"/>
                <w:szCs w:val="20"/>
              </w:rPr>
            </w:pPr>
            <w:r>
              <w:rPr>
                <w:rFonts w:ascii="Times New Roman" w:hAnsi="Times New Roman"/>
                <w:sz w:val="20"/>
                <w:szCs w:val="20"/>
              </w:rPr>
              <w:t>62.23</w:t>
            </w:r>
            <w:r>
              <w:rPr>
                <w:rFonts w:ascii="Times New Roman" w:hAnsi="Times New Roman"/>
                <w:sz w:val="20"/>
                <w:szCs w:val="20"/>
                <w:vertAlign w:val="superscript"/>
              </w:rPr>
              <w:t>bc</w:t>
            </w:r>
          </w:p>
        </w:tc>
        <w:tc>
          <w:tcPr>
            <w:tcW w:w="1851" w:type="dxa"/>
            <w:tcBorders>
              <w:top w:val="single" w:color="auto" w:sz="4" w:space="0"/>
            </w:tcBorders>
          </w:tcPr>
          <w:p w14:paraId="20561C03">
            <w:pPr>
              <w:spacing w:after="0"/>
              <w:jc w:val="both"/>
              <w:rPr>
                <w:rFonts w:ascii="Times New Roman" w:hAnsi="Times New Roman"/>
                <w:sz w:val="20"/>
                <w:szCs w:val="20"/>
              </w:rPr>
            </w:pPr>
            <w:r>
              <w:rPr>
                <w:rFonts w:ascii="Times New Roman" w:hAnsi="Times New Roman"/>
                <w:sz w:val="20"/>
                <w:szCs w:val="20"/>
              </w:rPr>
              <w:t>69.90</w:t>
            </w:r>
            <w:r>
              <w:rPr>
                <w:rFonts w:ascii="Times New Roman" w:hAnsi="Times New Roman"/>
                <w:sz w:val="20"/>
                <w:szCs w:val="20"/>
                <w:vertAlign w:val="superscript"/>
              </w:rPr>
              <w:t>a</w:t>
            </w:r>
          </w:p>
        </w:tc>
        <w:tc>
          <w:tcPr>
            <w:tcW w:w="1270" w:type="dxa"/>
            <w:tcBorders>
              <w:top w:val="single" w:color="auto" w:sz="4" w:space="0"/>
            </w:tcBorders>
          </w:tcPr>
          <w:p w14:paraId="5D8FBE54">
            <w:pPr>
              <w:spacing w:after="0"/>
              <w:jc w:val="both"/>
              <w:rPr>
                <w:rFonts w:ascii="Times New Roman" w:hAnsi="Times New Roman"/>
                <w:sz w:val="20"/>
                <w:szCs w:val="20"/>
              </w:rPr>
            </w:pPr>
            <w:r>
              <w:rPr>
                <w:rFonts w:ascii="Times New Roman" w:hAnsi="Times New Roman"/>
                <w:sz w:val="20"/>
                <w:szCs w:val="20"/>
              </w:rPr>
              <w:t>1.68</w:t>
            </w:r>
          </w:p>
        </w:tc>
      </w:tr>
      <w:tr w14:paraId="7BE5C0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2722" w:type="dxa"/>
          </w:tcPr>
          <w:p w14:paraId="083E94BF">
            <w:pPr>
              <w:spacing w:after="0"/>
              <w:jc w:val="both"/>
              <w:rPr>
                <w:rFonts w:ascii="Times New Roman" w:hAnsi="Times New Roman" w:eastAsia="SimSun"/>
                <w:sz w:val="18"/>
                <w:szCs w:val="18"/>
              </w:rPr>
            </w:pPr>
            <w:r>
              <w:rPr>
                <w:rFonts w:ascii="Times New Roman" w:hAnsi="Times New Roman" w:eastAsia="SimSun"/>
                <w:sz w:val="18"/>
                <w:szCs w:val="18"/>
              </w:rPr>
              <w:t>Crude fibre</w:t>
            </w:r>
          </w:p>
        </w:tc>
        <w:tc>
          <w:tcPr>
            <w:tcW w:w="1572" w:type="dxa"/>
          </w:tcPr>
          <w:p w14:paraId="04ADB48A">
            <w:pPr>
              <w:spacing w:after="0"/>
              <w:jc w:val="both"/>
              <w:rPr>
                <w:rFonts w:ascii="Times New Roman" w:hAnsi="Times New Roman"/>
                <w:sz w:val="20"/>
                <w:szCs w:val="20"/>
              </w:rPr>
            </w:pPr>
            <w:r>
              <w:rPr>
                <w:rFonts w:ascii="Times New Roman" w:hAnsi="Times New Roman"/>
                <w:sz w:val="20"/>
                <w:szCs w:val="20"/>
              </w:rPr>
              <w:t>79.83</w:t>
            </w:r>
          </w:p>
        </w:tc>
        <w:tc>
          <w:tcPr>
            <w:tcW w:w="1439" w:type="dxa"/>
          </w:tcPr>
          <w:p w14:paraId="03BD28FF">
            <w:pPr>
              <w:spacing w:after="0"/>
              <w:jc w:val="both"/>
              <w:rPr>
                <w:rFonts w:ascii="Times New Roman" w:hAnsi="Times New Roman"/>
                <w:sz w:val="20"/>
                <w:szCs w:val="20"/>
              </w:rPr>
            </w:pPr>
            <w:r>
              <w:rPr>
                <w:rFonts w:ascii="Times New Roman" w:hAnsi="Times New Roman"/>
                <w:sz w:val="20"/>
                <w:szCs w:val="20"/>
              </w:rPr>
              <w:t>81.77</w:t>
            </w:r>
          </w:p>
        </w:tc>
        <w:tc>
          <w:tcPr>
            <w:tcW w:w="1373" w:type="dxa"/>
          </w:tcPr>
          <w:p w14:paraId="56BB6E6F">
            <w:pPr>
              <w:spacing w:after="0"/>
              <w:jc w:val="both"/>
              <w:rPr>
                <w:rFonts w:ascii="Times New Roman" w:hAnsi="Times New Roman"/>
                <w:sz w:val="20"/>
                <w:szCs w:val="20"/>
              </w:rPr>
            </w:pPr>
            <w:r>
              <w:rPr>
                <w:rFonts w:ascii="Times New Roman" w:hAnsi="Times New Roman"/>
                <w:sz w:val="20"/>
                <w:szCs w:val="20"/>
              </w:rPr>
              <w:t>79.53</w:t>
            </w:r>
          </w:p>
        </w:tc>
        <w:tc>
          <w:tcPr>
            <w:tcW w:w="1851" w:type="dxa"/>
          </w:tcPr>
          <w:p w14:paraId="0BB574F1">
            <w:pPr>
              <w:spacing w:after="0"/>
              <w:jc w:val="both"/>
              <w:rPr>
                <w:rFonts w:ascii="Times New Roman" w:hAnsi="Times New Roman"/>
                <w:sz w:val="20"/>
                <w:szCs w:val="20"/>
              </w:rPr>
            </w:pPr>
            <w:r>
              <w:rPr>
                <w:rFonts w:ascii="Times New Roman" w:hAnsi="Times New Roman"/>
                <w:sz w:val="20"/>
                <w:szCs w:val="20"/>
              </w:rPr>
              <w:t>81.89</w:t>
            </w:r>
          </w:p>
        </w:tc>
        <w:tc>
          <w:tcPr>
            <w:tcW w:w="1270" w:type="dxa"/>
          </w:tcPr>
          <w:p w14:paraId="2A4FAAC1">
            <w:pPr>
              <w:spacing w:after="0"/>
              <w:jc w:val="both"/>
              <w:rPr>
                <w:rFonts w:ascii="Times New Roman" w:hAnsi="Times New Roman"/>
                <w:sz w:val="20"/>
                <w:szCs w:val="20"/>
              </w:rPr>
            </w:pPr>
            <w:r>
              <w:rPr>
                <w:rFonts w:ascii="Times New Roman" w:hAnsi="Times New Roman"/>
                <w:sz w:val="20"/>
                <w:szCs w:val="20"/>
              </w:rPr>
              <w:t>0.67</w:t>
            </w:r>
          </w:p>
        </w:tc>
      </w:tr>
      <w:tr w14:paraId="3CF49C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722" w:type="dxa"/>
          </w:tcPr>
          <w:p w14:paraId="778A0BDD">
            <w:pPr>
              <w:spacing w:after="0"/>
              <w:jc w:val="both"/>
              <w:rPr>
                <w:rFonts w:ascii="Times New Roman" w:hAnsi="Times New Roman" w:eastAsia="SimSun"/>
                <w:sz w:val="18"/>
                <w:szCs w:val="18"/>
              </w:rPr>
            </w:pPr>
            <w:r>
              <w:rPr>
                <w:rFonts w:ascii="Times New Roman" w:hAnsi="Times New Roman" w:eastAsia="SimSun"/>
                <w:sz w:val="18"/>
                <w:szCs w:val="18"/>
              </w:rPr>
              <w:t>Ether Extract</w:t>
            </w:r>
          </w:p>
        </w:tc>
        <w:tc>
          <w:tcPr>
            <w:tcW w:w="1572" w:type="dxa"/>
          </w:tcPr>
          <w:p w14:paraId="37A540D0">
            <w:pPr>
              <w:spacing w:after="0"/>
              <w:jc w:val="both"/>
              <w:rPr>
                <w:rFonts w:ascii="Times New Roman" w:hAnsi="Times New Roman"/>
                <w:sz w:val="20"/>
                <w:szCs w:val="20"/>
              </w:rPr>
            </w:pPr>
            <w:r>
              <w:rPr>
                <w:rFonts w:ascii="Times New Roman" w:hAnsi="Times New Roman"/>
                <w:sz w:val="20"/>
                <w:szCs w:val="20"/>
              </w:rPr>
              <w:t>53.24</w:t>
            </w:r>
            <w:r>
              <w:rPr>
                <w:rFonts w:ascii="Times New Roman" w:hAnsi="Times New Roman"/>
                <w:sz w:val="20"/>
                <w:szCs w:val="20"/>
                <w:vertAlign w:val="superscript"/>
              </w:rPr>
              <w:t>b</w:t>
            </w:r>
          </w:p>
        </w:tc>
        <w:tc>
          <w:tcPr>
            <w:tcW w:w="1439" w:type="dxa"/>
          </w:tcPr>
          <w:p w14:paraId="35B2DA38">
            <w:pPr>
              <w:spacing w:after="0"/>
              <w:jc w:val="both"/>
              <w:rPr>
                <w:rFonts w:ascii="Times New Roman" w:hAnsi="Times New Roman"/>
                <w:sz w:val="20"/>
                <w:szCs w:val="20"/>
              </w:rPr>
            </w:pPr>
            <w:r>
              <w:rPr>
                <w:rFonts w:ascii="Times New Roman" w:hAnsi="Times New Roman"/>
                <w:sz w:val="20"/>
                <w:szCs w:val="20"/>
              </w:rPr>
              <w:t>64.54</w:t>
            </w:r>
            <w:r>
              <w:rPr>
                <w:rFonts w:ascii="Times New Roman" w:hAnsi="Times New Roman"/>
                <w:sz w:val="20"/>
                <w:szCs w:val="20"/>
                <w:vertAlign w:val="superscript"/>
              </w:rPr>
              <w:t>a</w:t>
            </w:r>
          </w:p>
        </w:tc>
        <w:tc>
          <w:tcPr>
            <w:tcW w:w="1373" w:type="dxa"/>
          </w:tcPr>
          <w:p w14:paraId="61C631C1">
            <w:pPr>
              <w:spacing w:after="0"/>
              <w:jc w:val="both"/>
              <w:rPr>
                <w:rFonts w:ascii="Times New Roman" w:hAnsi="Times New Roman"/>
                <w:sz w:val="20"/>
                <w:szCs w:val="20"/>
              </w:rPr>
            </w:pPr>
            <w:r>
              <w:rPr>
                <w:rFonts w:ascii="Times New Roman" w:hAnsi="Times New Roman"/>
                <w:sz w:val="20"/>
                <w:szCs w:val="20"/>
              </w:rPr>
              <w:t>67.51</w:t>
            </w:r>
            <w:r>
              <w:rPr>
                <w:rFonts w:ascii="Times New Roman" w:hAnsi="Times New Roman"/>
                <w:sz w:val="20"/>
                <w:szCs w:val="20"/>
                <w:vertAlign w:val="superscript"/>
              </w:rPr>
              <w:t>a</w:t>
            </w:r>
          </w:p>
        </w:tc>
        <w:tc>
          <w:tcPr>
            <w:tcW w:w="1851" w:type="dxa"/>
          </w:tcPr>
          <w:p w14:paraId="6D37F7D4">
            <w:pPr>
              <w:spacing w:after="0"/>
              <w:jc w:val="both"/>
              <w:rPr>
                <w:rFonts w:ascii="Times New Roman" w:hAnsi="Times New Roman"/>
                <w:sz w:val="20"/>
                <w:szCs w:val="20"/>
              </w:rPr>
            </w:pPr>
            <w:r>
              <w:rPr>
                <w:rFonts w:ascii="Times New Roman" w:hAnsi="Times New Roman"/>
                <w:sz w:val="20"/>
                <w:szCs w:val="20"/>
              </w:rPr>
              <w:t>68.72</w:t>
            </w:r>
            <w:r>
              <w:rPr>
                <w:rFonts w:ascii="Times New Roman" w:hAnsi="Times New Roman"/>
                <w:sz w:val="20"/>
                <w:szCs w:val="20"/>
                <w:vertAlign w:val="superscript"/>
              </w:rPr>
              <w:t>a</w:t>
            </w:r>
          </w:p>
        </w:tc>
        <w:tc>
          <w:tcPr>
            <w:tcW w:w="1270" w:type="dxa"/>
          </w:tcPr>
          <w:p w14:paraId="2A713008">
            <w:pPr>
              <w:spacing w:after="0"/>
              <w:jc w:val="both"/>
              <w:rPr>
                <w:rFonts w:ascii="Times New Roman" w:hAnsi="Times New Roman"/>
                <w:sz w:val="20"/>
                <w:szCs w:val="20"/>
              </w:rPr>
            </w:pPr>
            <w:r>
              <w:rPr>
                <w:rFonts w:ascii="Times New Roman" w:hAnsi="Times New Roman"/>
                <w:sz w:val="20"/>
                <w:szCs w:val="20"/>
              </w:rPr>
              <w:t>1.93</w:t>
            </w:r>
          </w:p>
        </w:tc>
      </w:tr>
      <w:tr w14:paraId="1ADA7A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722" w:type="dxa"/>
          </w:tcPr>
          <w:p w14:paraId="54F08AF4">
            <w:pPr>
              <w:spacing w:after="0"/>
              <w:jc w:val="both"/>
              <w:rPr>
                <w:rFonts w:ascii="Times New Roman" w:hAnsi="Times New Roman" w:eastAsia="SimSun"/>
                <w:sz w:val="18"/>
                <w:szCs w:val="18"/>
              </w:rPr>
            </w:pPr>
            <w:r>
              <w:rPr>
                <w:rFonts w:ascii="Times New Roman" w:hAnsi="Times New Roman" w:eastAsia="SimSun"/>
                <w:sz w:val="18"/>
                <w:szCs w:val="18"/>
              </w:rPr>
              <w:t>Ash</w:t>
            </w:r>
          </w:p>
        </w:tc>
        <w:tc>
          <w:tcPr>
            <w:tcW w:w="1572" w:type="dxa"/>
          </w:tcPr>
          <w:p w14:paraId="120FE230">
            <w:pPr>
              <w:spacing w:after="0"/>
              <w:jc w:val="both"/>
              <w:rPr>
                <w:rFonts w:ascii="Times New Roman" w:hAnsi="Times New Roman"/>
                <w:sz w:val="20"/>
                <w:szCs w:val="20"/>
              </w:rPr>
            </w:pPr>
            <w:r>
              <w:rPr>
                <w:rFonts w:ascii="Times New Roman" w:hAnsi="Times New Roman"/>
                <w:sz w:val="20"/>
                <w:szCs w:val="20"/>
              </w:rPr>
              <w:t>72.73</w:t>
            </w:r>
            <w:r>
              <w:rPr>
                <w:rFonts w:ascii="Times New Roman" w:hAnsi="Times New Roman"/>
                <w:sz w:val="20"/>
                <w:szCs w:val="20"/>
                <w:vertAlign w:val="superscript"/>
              </w:rPr>
              <w:t>b</w:t>
            </w:r>
          </w:p>
        </w:tc>
        <w:tc>
          <w:tcPr>
            <w:tcW w:w="1439" w:type="dxa"/>
          </w:tcPr>
          <w:p w14:paraId="077C1E64">
            <w:pPr>
              <w:spacing w:after="0"/>
              <w:jc w:val="both"/>
              <w:rPr>
                <w:rFonts w:ascii="Times New Roman" w:hAnsi="Times New Roman"/>
                <w:sz w:val="20"/>
                <w:szCs w:val="20"/>
              </w:rPr>
            </w:pPr>
            <w:r>
              <w:rPr>
                <w:rFonts w:ascii="Times New Roman" w:hAnsi="Times New Roman"/>
                <w:sz w:val="20"/>
                <w:szCs w:val="20"/>
              </w:rPr>
              <w:t>79.79</w:t>
            </w:r>
            <w:r>
              <w:rPr>
                <w:rFonts w:ascii="Times New Roman" w:hAnsi="Times New Roman"/>
                <w:sz w:val="20"/>
                <w:szCs w:val="20"/>
                <w:vertAlign w:val="superscript"/>
              </w:rPr>
              <w:t>a</w:t>
            </w:r>
          </w:p>
        </w:tc>
        <w:tc>
          <w:tcPr>
            <w:tcW w:w="1373" w:type="dxa"/>
          </w:tcPr>
          <w:p w14:paraId="1DC2F263">
            <w:pPr>
              <w:spacing w:after="0"/>
              <w:jc w:val="both"/>
              <w:rPr>
                <w:rFonts w:ascii="Times New Roman" w:hAnsi="Times New Roman"/>
                <w:sz w:val="20"/>
                <w:szCs w:val="20"/>
              </w:rPr>
            </w:pPr>
            <w:r>
              <w:rPr>
                <w:rFonts w:ascii="Times New Roman" w:hAnsi="Times New Roman"/>
                <w:sz w:val="20"/>
                <w:szCs w:val="20"/>
              </w:rPr>
              <w:t>71.32</w:t>
            </w:r>
            <w:r>
              <w:rPr>
                <w:rFonts w:ascii="Times New Roman" w:hAnsi="Times New Roman"/>
                <w:sz w:val="20"/>
                <w:szCs w:val="20"/>
                <w:vertAlign w:val="superscript"/>
              </w:rPr>
              <w:t>b</w:t>
            </w:r>
          </w:p>
        </w:tc>
        <w:tc>
          <w:tcPr>
            <w:tcW w:w="1851" w:type="dxa"/>
          </w:tcPr>
          <w:p w14:paraId="66A99AC4">
            <w:pPr>
              <w:spacing w:after="0"/>
              <w:jc w:val="both"/>
              <w:rPr>
                <w:rFonts w:ascii="Times New Roman" w:hAnsi="Times New Roman"/>
                <w:sz w:val="20"/>
                <w:szCs w:val="20"/>
              </w:rPr>
            </w:pPr>
            <w:r>
              <w:rPr>
                <w:rFonts w:ascii="Times New Roman" w:hAnsi="Times New Roman"/>
                <w:sz w:val="20"/>
                <w:szCs w:val="20"/>
              </w:rPr>
              <w:t>75.35</w:t>
            </w:r>
            <w:r>
              <w:rPr>
                <w:rFonts w:ascii="Times New Roman" w:hAnsi="Times New Roman"/>
                <w:sz w:val="20"/>
                <w:szCs w:val="20"/>
                <w:vertAlign w:val="superscript"/>
              </w:rPr>
              <w:t>ab</w:t>
            </w:r>
          </w:p>
        </w:tc>
        <w:tc>
          <w:tcPr>
            <w:tcW w:w="1270" w:type="dxa"/>
          </w:tcPr>
          <w:p w14:paraId="0342ACA1">
            <w:pPr>
              <w:spacing w:after="0"/>
              <w:jc w:val="both"/>
              <w:rPr>
                <w:rFonts w:ascii="Times New Roman" w:hAnsi="Times New Roman"/>
                <w:sz w:val="20"/>
                <w:szCs w:val="20"/>
              </w:rPr>
            </w:pPr>
            <w:r>
              <w:rPr>
                <w:rFonts w:ascii="Times New Roman" w:hAnsi="Times New Roman"/>
                <w:sz w:val="20"/>
                <w:szCs w:val="20"/>
              </w:rPr>
              <w:t>1.27</w:t>
            </w:r>
          </w:p>
        </w:tc>
      </w:tr>
      <w:tr w14:paraId="38B206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722" w:type="dxa"/>
          </w:tcPr>
          <w:p w14:paraId="36B799CC">
            <w:pPr>
              <w:spacing w:after="0"/>
              <w:jc w:val="both"/>
              <w:rPr>
                <w:rFonts w:ascii="Times New Roman" w:hAnsi="Times New Roman" w:eastAsia="SimSun"/>
                <w:sz w:val="18"/>
                <w:szCs w:val="18"/>
              </w:rPr>
            </w:pPr>
            <w:r>
              <w:rPr>
                <w:rFonts w:ascii="Times New Roman" w:hAnsi="Times New Roman" w:eastAsia="SimSun"/>
                <w:sz w:val="18"/>
                <w:szCs w:val="18"/>
              </w:rPr>
              <w:t>Dry matter</w:t>
            </w:r>
          </w:p>
        </w:tc>
        <w:tc>
          <w:tcPr>
            <w:tcW w:w="1572" w:type="dxa"/>
          </w:tcPr>
          <w:p w14:paraId="327B74F0">
            <w:pPr>
              <w:spacing w:after="0"/>
              <w:jc w:val="both"/>
              <w:rPr>
                <w:rFonts w:ascii="Times New Roman" w:hAnsi="Times New Roman"/>
                <w:sz w:val="20"/>
                <w:szCs w:val="20"/>
              </w:rPr>
            </w:pPr>
            <w:r>
              <w:rPr>
                <w:rFonts w:ascii="Times New Roman" w:hAnsi="Times New Roman"/>
                <w:sz w:val="20"/>
                <w:szCs w:val="20"/>
              </w:rPr>
              <w:t>76.06</w:t>
            </w:r>
            <w:r>
              <w:rPr>
                <w:rFonts w:ascii="Times New Roman" w:hAnsi="Times New Roman"/>
                <w:sz w:val="20"/>
                <w:szCs w:val="20"/>
                <w:vertAlign w:val="superscript"/>
              </w:rPr>
              <w:t>b</w:t>
            </w:r>
          </w:p>
        </w:tc>
        <w:tc>
          <w:tcPr>
            <w:tcW w:w="1439" w:type="dxa"/>
          </w:tcPr>
          <w:p w14:paraId="26E93ADF">
            <w:pPr>
              <w:spacing w:after="0"/>
              <w:jc w:val="both"/>
              <w:rPr>
                <w:rFonts w:ascii="Times New Roman" w:hAnsi="Times New Roman"/>
                <w:sz w:val="20"/>
                <w:szCs w:val="20"/>
              </w:rPr>
            </w:pPr>
            <w:r>
              <w:rPr>
                <w:rFonts w:ascii="Times New Roman" w:hAnsi="Times New Roman"/>
                <w:sz w:val="20"/>
                <w:szCs w:val="20"/>
              </w:rPr>
              <w:t>83.72</w:t>
            </w:r>
            <w:r>
              <w:rPr>
                <w:rFonts w:ascii="Times New Roman" w:hAnsi="Times New Roman"/>
                <w:sz w:val="20"/>
                <w:szCs w:val="20"/>
                <w:vertAlign w:val="superscript"/>
              </w:rPr>
              <w:t>a</w:t>
            </w:r>
          </w:p>
        </w:tc>
        <w:tc>
          <w:tcPr>
            <w:tcW w:w="1373" w:type="dxa"/>
          </w:tcPr>
          <w:p w14:paraId="4AD78281">
            <w:pPr>
              <w:spacing w:after="0"/>
              <w:jc w:val="both"/>
              <w:rPr>
                <w:rFonts w:ascii="Times New Roman" w:hAnsi="Times New Roman"/>
                <w:sz w:val="20"/>
                <w:szCs w:val="20"/>
              </w:rPr>
            </w:pPr>
            <w:r>
              <w:rPr>
                <w:rFonts w:ascii="Times New Roman" w:hAnsi="Times New Roman"/>
                <w:sz w:val="20"/>
                <w:szCs w:val="20"/>
              </w:rPr>
              <w:t>79.67</w:t>
            </w:r>
            <w:r>
              <w:rPr>
                <w:rFonts w:ascii="Times New Roman" w:hAnsi="Times New Roman"/>
                <w:sz w:val="20"/>
                <w:szCs w:val="20"/>
                <w:vertAlign w:val="superscript"/>
              </w:rPr>
              <w:t>ab</w:t>
            </w:r>
          </w:p>
        </w:tc>
        <w:tc>
          <w:tcPr>
            <w:tcW w:w="1851" w:type="dxa"/>
          </w:tcPr>
          <w:p w14:paraId="6E150B99">
            <w:pPr>
              <w:spacing w:after="0"/>
              <w:jc w:val="both"/>
              <w:rPr>
                <w:rFonts w:ascii="Times New Roman" w:hAnsi="Times New Roman"/>
                <w:sz w:val="20"/>
                <w:szCs w:val="20"/>
              </w:rPr>
            </w:pPr>
            <w:r>
              <w:rPr>
                <w:rFonts w:ascii="Times New Roman" w:hAnsi="Times New Roman"/>
                <w:sz w:val="20"/>
                <w:szCs w:val="20"/>
              </w:rPr>
              <w:t>82.57</w:t>
            </w:r>
            <w:r>
              <w:rPr>
                <w:rFonts w:ascii="Times New Roman" w:hAnsi="Times New Roman"/>
                <w:sz w:val="20"/>
                <w:szCs w:val="20"/>
                <w:vertAlign w:val="superscript"/>
              </w:rPr>
              <w:t>a</w:t>
            </w:r>
          </w:p>
        </w:tc>
        <w:tc>
          <w:tcPr>
            <w:tcW w:w="1270" w:type="dxa"/>
          </w:tcPr>
          <w:p w14:paraId="51040117">
            <w:pPr>
              <w:spacing w:after="0"/>
              <w:jc w:val="both"/>
              <w:rPr>
                <w:rFonts w:ascii="Times New Roman" w:hAnsi="Times New Roman"/>
                <w:sz w:val="20"/>
                <w:szCs w:val="20"/>
              </w:rPr>
            </w:pPr>
            <w:r>
              <w:rPr>
                <w:rFonts w:ascii="Times New Roman" w:hAnsi="Times New Roman"/>
                <w:sz w:val="20"/>
                <w:szCs w:val="20"/>
              </w:rPr>
              <w:t>0.97</w:t>
            </w:r>
          </w:p>
        </w:tc>
      </w:tr>
      <w:tr w14:paraId="7D9620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22" w:type="dxa"/>
            <w:tcBorders>
              <w:bottom w:val="single" w:color="auto" w:sz="4" w:space="0"/>
            </w:tcBorders>
          </w:tcPr>
          <w:p w14:paraId="3799236A">
            <w:pPr>
              <w:spacing w:after="0"/>
              <w:jc w:val="both"/>
              <w:rPr>
                <w:rFonts w:ascii="Times New Roman" w:hAnsi="Times New Roman" w:eastAsia="SimSun"/>
                <w:sz w:val="18"/>
                <w:szCs w:val="18"/>
              </w:rPr>
            </w:pPr>
            <w:r>
              <w:rPr>
                <w:rFonts w:ascii="Times New Roman" w:hAnsi="Times New Roman" w:eastAsia="SimSun"/>
                <w:sz w:val="18"/>
                <w:szCs w:val="18"/>
              </w:rPr>
              <w:t>Nitrogen Free Extract</w:t>
            </w:r>
          </w:p>
        </w:tc>
        <w:tc>
          <w:tcPr>
            <w:tcW w:w="1572" w:type="dxa"/>
            <w:tcBorders>
              <w:bottom w:val="single" w:color="auto" w:sz="4" w:space="0"/>
            </w:tcBorders>
          </w:tcPr>
          <w:p w14:paraId="065B986A">
            <w:pPr>
              <w:spacing w:after="0"/>
              <w:jc w:val="both"/>
              <w:rPr>
                <w:rFonts w:ascii="Times New Roman" w:hAnsi="Times New Roman"/>
                <w:sz w:val="20"/>
                <w:szCs w:val="20"/>
              </w:rPr>
            </w:pPr>
            <w:r>
              <w:rPr>
                <w:rFonts w:ascii="Times New Roman" w:hAnsi="Times New Roman"/>
                <w:sz w:val="20"/>
                <w:szCs w:val="20"/>
              </w:rPr>
              <w:t>88.68</w:t>
            </w:r>
            <w:r>
              <w:rPr>
                <w:rFonts w:ascii="Times New Roman" w:hAnsi="Times New Roman"/>
                <w:sz w:val="20"/>
                <w:szCs w:val="20"/>
                <w:vertAlign w:val="superscript"/>
              </w:rPr>
              <w:t>c</w:t>
            </w:r>
          </w:p>
        </w:tc>
        <w:tc>
          <w:tcPr>
            <w:tcW w:w="1439" w:type="dxa"/>
            <w:tcBorders>
              <w:bottom w:val="single" w:color="auto" w:sz="4" w:space="0"/>
            </w:tcBorders>
          </w:tcPr>
          <w:p w14:paraId="4914A3C5">
            <w:pPr>
              <w:spacing w:after="0"/>
              <w:jc w:val="both"/>
              <w:rPr>
                <w:rFonts w:ascii="Times New Roman" w:hAnsi="Times New Roman"/>
                <w:sz w:val="20"/>
                <w:szCs w:val="20"/>
              </w:rPr>
            </w:pPr>
            <w:r>
              <w:rPr>
                <w:rFonts w:ascii="Times New Roman" w:hAnsi="Times New Roman"/>
                <w:sz w:val="20"/>
                <w:szCs w:val="20"/>
              </w:rPr>
              <w:t>96.34</w:t>
            </w:r>
            <w:r>
              <w:rPr>
                <w:rFonts w:ascii="Times New Roman" w:hAnsi="Times New Roman"/>
                <w:sz w:val="20"/>
                <w:szCs w:val="20"/>
                <w:vertAlign w:val="superscript"/>
              </w:rPr>
              <w:t>a</w:t>
            </w:r>
          </w:p>
        </w:tc>
        <w:tc>
          <w:tcPr>
            <w:tcW w:w="1373" w:type="dxa"/>
            <w:tcBorders>
              <w:bottom w:val="single" w:color="auto" w:sz="4" w:space="0"/>
            </w:tcBorders>
          </w:tcPr>
          <w:p w14:paraId="5A5E1DA8">
            <w:pPr>
              <w:spacing w:after="0"/>
              <w:jc w:val="both"/>
              <w:rPr>
                <w:rFonts w:ascii="Times New Roman" w:hAnsi="Times New Roman"/>
                <w:sz w:val="20"/>
                <w:szCs w:val="20"/>
              </w:rPr>
            </w:pPr>
            <w:r>
              <w:rPr>
                <w:rFonts w:ascii="Times New Roman" w:hAnsi="Times New Roman"/>
                <w:sz w:val="20"/>
                <w:szCs w:val="20"/>
              </w:rPr>
              <w:t>93.31</w:t>
            </w:r>
            <w:r>
              <w:rPr>
                <w:rFonts w:ascii="Times New Roman" w:hAnsi="Times New Roman"/>
                <w:sz w:val="20"/>
                <w:szCs w:val="20"/>
                <w:vertAlign w:val="superscript"/>
              </w:rPr>
              <w:t>b</w:t>
            </w:r>
          </w:p>
        </w:tc>
        <w:tc>
          <w:tcPr>
            <w:tcW w:w="1851" w:type="dxa"/>
            <w:tcBorders>
              <w:bottom w:val="single" w:color="auto" w:sz="4" w:space="0"/>
            </w:tcBorders>
          </w:tcPr>
          <w:p w14:paraId="06756CBA">
            <w:pPr>
              <w:spacing w:after="0"/>
              <w:jc w:val="both"/>
              <w:rPr>
                <w:rFonts w:ascii="Times New Roman" w:hAnsi="Times New Roman"/>
                <w:sz w:val="20"/>
                <w:szCs w:val="20"/>
              </w:rPr>
            </w:pPr>
            <w:r>
              <w:rPr>
                <w:rFonts w:ascii="Times New Roman" w:hAnsi="Times New Roman"/>
                <w:sz w:val="20"/>
                <w:szCs w:val="20"/>
              </w:rPr>
              <w:t>93.51</w:t>
            </w:r>
            <w:r>
              <w:rPr>
                <w:rFonts w:ascii="Times New Roman" w:hAnsi="Times New Roman"/>
                <w:sz w:val="20"/>
                <w:szCs w:val="20"/>
                <w:vertAlign w:val="superscript"/>
              </w:rPr>
              <w:t>b</w:t>
            </w:r>
          </w:p>
        </w:tc>
        <w:tc>
          <w:tcPr>
            <w:tcW w:w="1270" w:type="dxa"/>
            <w:tcBorders>
              <w:bottom w:val="single" w:color="auto" w:sz="4" w:space="0"/>
            </w:tcBorders>
          </w:tcPr>
          <w:p w14:paraId="61514BCA">
            <w:pPr>
              <w:spacing w:after="0"/>
              <w:jc w:val="both"/>
              <w:rPr>
                <w:rFonts w:ascii="Times New Roman" w:hAnsi="Times New Roman"/>
                <w:sz w:val="20"/>
                <w:szCs w:val="20"/>
              </w:rPr>
            </w:pPr>
            <w:r>
              <w:rPr>
                <w:rFonts w:ascii="Times New Roman" w:hAnsi="Times New Roman"/>
                <w:sz w:val="20"/>
                <w:szCs w:val="20"/>
              </w:rPr>
              <w:t>0.78</w:t>
            </w:r>
          </w:p>
        </w:tc>
      </w:tr>
      <w:tr w14:paraId="047D3A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27" w:type="dxa"/>
            <w:gridSpan w:val="6"/>
            <w:tcBorders>
              <w:top w:val="single" w:color="auto" w:sz="4" w:space="0"/>
              <w:bottom w:val="nil"/>
            </w:tcBorders>
          </w:tcPr>
          <w:p w14:paraId="4A54A259">
            <w:pPr>
              <w:spacing w:after="0"/>
              <w:jc w:val="both"/>
              <w:rPr>
                <w:rFonts w:ascii="Times New Roman" w:hAnsi="Times New Roman"/>
                <w:sz w:val="18"/>
                <w:szCs w:val="18"/>
              </w:rPr>
            </w:pPr>
            <w:r>
              <w:rPr>
                <w:rFonts w:ascii="Times New Roman" w:hAnsi="Times New Roman"/>
                <w:b/>
                <w:bCs/>
                <w:sz w:val="18"/>
                <w:szCs w:val="18"/>
                <w:vertAlign w:val="superscript"/>
              </w:rPr>
              <w:t>abc</w:t>
            </w:r>
            <w:r>
              <w:rPr>
                <w:rFonts w:ascii="Times New Roman" w:hAnsi="Times New Roman"/>
                <w:b/>
                <w:bCs/>
                <w:sz w:val="18"/>
                <w:szCs w:val="18"/>
              </w:rPr>
              <w:t xml:space="preserve"> Means on the same row with different superscript are significantly(P&gt;0.05) different.</w:t>
            </w:r>
            <w:r>
              <w:rPr>
                <w:rFonts w:ascii="Times New Roman" w:hAnsi="Times New Roman"/>
                <w:b/>
                <w:sz w:val="18"/>
                <w:szCs w:val="18"/>
              </w:rPr>
              <w:t>T1: control diet, T2-3g (1g Garlic, 1g Ginger and 1g Turmeric) to 1kg of feed, T3: 3g (1g Turmeric, 1g Ginger and 1g Cloves) to 1kg of feed and T4: 4g (1g Garlic, 1g Turmeric and 1g Clove) to 1kg of feed</w:t>
            </w:r>
          </w:p>
        </w:tc>
      </w:tr>
    </w:tbl>
    <w:p w14:paraId="020D27A5">
      <w:pPr>
        <w:spacing w:after="120"/>
        <w:jc w:val="both"/>
        <w:rPr>
          <w:rFonts w:ascii="Times New Roman" w:hAnsi="Times New Roman" w:cs="Times New Roman"/>
          <w:sz w:val="20"/>
          <w:szCs w:val="20"/>
        </w:rPr>
      </w:pPr>
      <w:r>
        <w:rPr>
          <w:rFonts w:ascii="Times New Roman" w:hAnsi="Times New Roman" w:cs="Times New Roman"/>
          <w:sz w:val="20"/>
          <w:szCs w:val="20"/>
        </w:rPr>
        <w:t>The result of nutrient digestibility of broiler chicken fed diet containing thorn apple fruit, leaf and their blend is presented in Table VI. Across the treatments, T4 (2 g fruit and leaf/kg feed) recorded the highest values for crude protein digestibility and ether extract digestibility while T1 recorded the least values for these parameters. Crude protein digestibility ranged from 57.42% (T1) to 69.90% (T4), while ether extract digestibility ranged from 53.24% (T1) to 68.72% (T4). T2 (2 g fruit/kg feed) recorded the highest values for ash digestibility and nitrogen free extract digestibility while T3 recorded the least ash digestibility and T1 recorded the least nitrogen free extract digestibility across the treatments. Ash digestibility ranged from 71.32% (T3) to 79.79% (T2), while nitrogen free extract digestibility ranged from 88.68% (T1) to 96.34% (T2). Dry matter digestibility was highest in T2 and lowest in T1, ranging from 76.06% (T1) to 83.72% (T2). Crude fibre digestibility ranged from 79.53% (T3) to 81.89% (T4), with no significant differences observed across the treatments.</w:t>
      </w:r>
    </w:p>
    <w:p w14:paraId="15ED240F">
      <w:pPr>
        <w:rPr>
          <w:rFonts w:ascii="Times New Roman" w:hAnsi="Times New Roman" w:cs="Times New Roman"/>
          <w:sz w:val="20"/>
          <w:szCs w:val="20"/>
        </w:rPr>
      </w:pPr>
    </w:p>
    <w:p w14:paraId="0DAEC8D7">
      <w:pPr>
        <w:spacing w:after="0"/>
        <w:rPr>
          <w:rFonts w:ascii="Times New Roman" w:hAnsi="Times New Roman" w:cs="Times New Roman"/>
          <w:b/>
          <w:bCs/>
          <w:sz w:val="20"/>
          <w:szCs w:val="20"/>
        </w:rPr>
      </w:pPr>
      <w:r>
        <w:rPr>
          <w:rFonts w:ascii="Times New Roman" w:hAnsi="Times New Roman" w:cs="Times New Roman"/>
          <w:b/>
          <w:bCs/>
          <w:sz w:val="20"/>
          <w:szCs w:val="20"/>
        </w:rPr>
        <w:t>DISCUSSION</w:t>
      </w:r>
    </w:p>
    <w:p w14:paraId="76ACE4B6">
      <w:pPr>
        <w:spacing w:after="0"/>
        <w:jc w:val="both"/>
        <w:rPr>
          <w:rFonts w:ascii="Times New Roman" w:hAnsi="Times New Roman" w:cs="Times New Roman"/>
          <w:sz w:val="20"/>
          <w:szCs w:val="20"/>
        </w:rPr>
      </w:pPr>
      <w:r>
        <w:rPr>
          <w:rFonts w:ascii="Times New Roman" w:hAnsi="Times New Roman" w:cs="Times New Roman"/>
          <w:sz w:val="20"/>
          <w:szCs w:val="20"/>
        </w:rPr>
        <w:t xml:space="preserve">The improvement in weight gain values obtained in this study shows that birds fed combined fruit and leaf recorded the highest value. These values fall within the normal market weight range of approximately 2800 to 3500 g for commercial broiler chickens reared between 6 and 8 weeks under intensive production systems. The present findings are comparable to the reports of Pirgozliev </w:t>
      </w:r>
      <w:r>
        <w:rPr>
          <w:rFonts w:ascii="Times New Roman" w:hAnsi="Times New Roman" w:cs="Times New Roman"/>
          <w:i/>
          <w:sz w:val="20"/>
          <w:szCs w:val="20"/>
        </w:rPr>
        <w:t>et al.</w:t>
      </w:r>
      <w:r>
        <w:rPr>
          <w:rFonts w:ascii="Times New Roman" w:hAnsi="Times New Roman" w:cs="Times New Roman"/>
          <w:sz w:val="20"/>
          <w:szCs w:val="20"/>
        </w:rPr>
        <w:t xml:space="preserve"> (2018), who observed final live weight values ranging from 3000g to 3400g in broiler chickens fed phytogenic feed additives containing essential oils and plant extracts. The authors attributed the improved live weight to enhanced nutrient retention, improved gut integrity and better intestinal absorption of nutrients induced by phytogenic compounds. Similarly, Flees </w:t>
      </w:r>
      <w:r>
        <w:rPr>
          <w:rFonts w:ascii="Times New Roman" w:hAnsi="Times New Roman" w:cs="Times New Roman"/>
          <w:i/>
          <w:sz w:val="20"/>
          <w:szCs w:val="20"/>
        </w:rPr>
        <w:t>et al.</w:t>
      </w:r>
      <w:r>
        <w:rPr>
          <w:rFonts w:ascii="Times New Roman" w:hAnsi="Times New Roman" w:cs="Times New Roman"/>
          <w:sz w:val="20"/>
          <w:szCs w:val="20"/>
        </w:rPr>
        <w:t xml:space="preserve"> (2021) reported significantly improved body weight in broilers supplemented with phytogenic water additives, with values comparable to those obtained in the present study. According to the authors, phytogenic compounds improve intermediary protein metabolism and enhance muscle protein synthesis, thereby increasing growth performance and final body weight. </w:t>
      </w:r>
    </w:p>
    <w:p w14:paraId="782805D2">
      <w:pPr>
        <w:spacing w:after="0"/>
        <w:jc w:val="both"/>
        <w:rPr>
          <w:rFonts w:ascii="Times New Roman" w:hAnsi="Times New Roman" w:cs="Times New Roman"/>
          <w:sz w:val="20"/>
          <w:szCs w:val="20"/>
        </w:rPr>
      </w:pPr>
    </w:p>
    <w:p w14:paraId="59C3B950">
      <w:pPr>
        <w:spacing w:after="0"/>
        <w:jc w:val="both"/>
        <w:rPr>
          <w:rFonts w:ascii="Times New Roman" w:hAnsi="Times New Roman" w:cs="Times New Roman"/>
          <w:sz w:val="20"/>
          <w:szCs w:val="20"/>
        </w:rPr>
      </w:pPr>
      <w:r>
        <w:rPr>
          <w:rFonts w:ascii="Times New Roman" w:hAnsi="Times New Roman" w:eastAsia="Times New Roman" w:cs="Times New Roman"/>
          <w:sz w:val="20"/>
          <w:szCs w:val="20"/>
        </w:rPr>
        <w:t xml:space="preserve">The increase in feed intake observed in the supplemented treatments suggests that Thorn apple supplementation enhanced feed palatability, stimulated appetite and possibly improved digestive activity in the experimental birds. The higher feed consumption observed particularly in the group fed T3 may indicate that the leaf component of Thorn apple possessed phytogenic compounds capable of stimulating voluntary feed intake. The findings of the present study agree with the report of </w:t>
      </w:r>
      <w:r>
        <w:rPr>
          <w:rFonts w:ascii="Times New Roman" w:hAnsi="Times New Roman" w:cs="Times New Roman"/>
          <w:sz w:val="20"/>
          <w:szCs w:val="20"/>
        </w:rPr>
        <w:t xml:space="preserve">Rafiu </w:t>
      </w:r>
      <w:r>
        <w:rPr>
          <w:rFonts w:ascii="Times New Roman" w:hAnsi="Times New Roman" w:cs="Times New Roman"/>
          <w:i/>
          <w:sz w:val="20"/>
          <w:szCs w:val="20"/>
        </w:rPr>
        <w:t>et al.</w:t>
      </w:r>
      <w:r>
        <w:rPr>
          <w:rFonts w:ascii="Times New Roman" w:hAnsi="Times New Roman" w:cs="Times New Roman"/>
          <w:sz w:val="20"/>
          <w:szCs w:val="20"/>
        </w:rPr>
        <w:t xml:space="preserve"> (2025) </w:t>
      </w:r>
      <w:r>
        <w:rPr>
          <w:rFonts w:ascii="Times New Roman" w:hAnsi="Times New Roman" w:eastAsia="Times New Roman" w:cs="Times New Roman"/>
          <w:sz w:val="20"/>
          <w:szCs w:val="20"/>
        </w:rPr>
        <w:t>who reported that thorn apple contains phytochemical compounds such as flavonoids, tannins and saponins which may influence feed consumption and digestive activity depending on inclusion level. The similarity between their findings and the present study indicates that thorn apple supplementation has direct influence on feeding behaviour and nutrient utilization in broiler chickens. However, unlike their study where excessive inclusion reduced feed intake, the present study recorded improved intake particularly in T3 and T4, possibly because the combined fruit and leaf supplementation was used at moderate inclusion levels that enhanced palatability without causing anti-nutritional effects. This improvement is important because increased feed intake under healthy physiological conditions often supports improved nutrient availability, better growth performance and enhanced productive efficiency in poultry production systems.</w:t>
      </w:r>
      <w:r>
        <w:rPr>
          <w:rFonts w:ascii="Times New Roman" w:hAnsi="Times New Roman" w:cs="Times New Roman"/>
          <w:sz w:val="20"/>
          <w:szCs w:val="20"/>
        </w:rPr>
        <w:t xml:space="preserve"> The feed conversion ratio (FCR) values obtained in the present study show that birds fed combined thorn apple fruit and leaf recorded the best value of 1.60. Improved feed conversion efficiency is economically important in poultry production because it reduces feed cost per unit body weight gain. The findings of the present study agree with the report of Pirgozliev </w:t>
      </w:r>
      <w:r>
        <w:rPr>
          <w:rFonts w:ascii="Times New Roman" w:hAnsi="Times New Roman" w:cs="Times New Roman"/>
          <w:i/>
          <w:sz w:val="20"/>
          <w:szCs w:val="20"/>
        </w:rPr>
        <w:t>et al.</w:t>
      </w:r>
      <w:r>
        <w:rPr>
          <w:rFonts w:ascii="Times New Roman" w:hAnsi="Times New Roman" w:cs="Times New Roman"/>
          <w:sz w:val="20"/>
          <w:szCs w:val="20"/>
        </w:rPr>
        <w:t xml:space="preserve"> (2018) and Okanlawon </w:t>
      </w:r>
      <w:r>
        <w:rPr>
          <w:rFonts w:ascii="Times New Roman" w:hAnsi="Times New Roman" w:cs="Times New Roman"/>
          <w:i/>
          <w:sz w:val="20"/>
          <w:szCs w:val="20"/>
        </w:rPr>
        <w:t xml:space="preserve">et al. </w:t>
      </w:r>
      <w:r>
        <w:rPr>
          <w:rFonts w:ascii="Times New Roman" w:hAnsi="Times New Roman" w:cs="Times New Roman"/>
          <w:sz w:val="20"/>
          <w:szCs w:val="20"/>
        </w:rPr>
        <w:t xml:space="preserve">(2025), who reported FCR values ranging from 1.58 to 1.80 in broiler chickens fed phytogenic feed additives. The authors explained that phytogenic compounds improved nutrient retention, enhanced intestinal morphology and stimulated digestive enzyme secretion, thereby improving nutrient conversion efficiency. The similarity between their findings and the present study suggests that thorn apple phytochemicals may have enhanced nutrient digestibility and metabolic utilization in the experimental birds. According to the authors, phytogenic compounds modulated lipid and protein metabolism pathways, improved gut health and enhanced intermediary nutrient metabolism, leading to better feed efficiency. Their findings are consistent with the present study and may indicate that thorn apple supplementation enhanced digestive and absorptive efficiency in the broiler chickens. </w:t>
      </w:r>
    </w:p>
    <w:p w14:paraId="7637BAAF">
      <w:pPr>
        <w:spacing w:after="0"/>
        <w:jc w:val="both"/>
        <w:rPr>
          <w:rFonts w:ascii="Times New Roman" w:hAnsi="Times New Roman" w:cs="Times New Roman"/>
          <w:sz w:val="20"/>
          <w:szCs w:val="20"/>
        </w:rPr>
      </w:pPr>
      <w:r>
        <w:rPr>
          <w:rFonts w:ascii="Times New Roman" w:hAnsi="Times New Roman" w:cs="Times New Roman"/>
          <w:sz w:val="20"/>
          <w:szCs w:val="20"/>
        </w:rPr>
        <w:t xml:space="preserve">Carcass characteristics and relative organ weights are important indicators used in evaluating growth performance, carcass yield, physiological status and possible toxicological effects of dietary treatments in poultry production. Parameters such as live weight, carcass weight, dressing percentage and cut-up parts provide information on productive efficiency and meat yield, while internal organ weights reflect metabolic adaptation and the health status of birds exposed to dietary supplements.  The results of final live weight in the study e similar to those reported by Daramola (2024), who recorded live weight values ranging from 3650g to 4020g in broiler chickens fed phytogenic feed additives. The author explained that phytogenic compounds enhanced nutrient digestibility, improved intestinal absorption and promoted efficient metabolic utilization of nutrients, thereby increasing body weight gain. The similarity in trend with the present study suggests that thorn apple supplementation may have enhanced nutrient utilization and growth efficiency in the experimental birds. The improvement in carcass weight is associated with enhanced feed efficiency, improved gut microbial balance and better nutrient retention. Their findings support the present study and indicate that the phytochemical constituents present in thorn apple may have positively influenced growth performance. The relatively higher live weight values obtained in the present study may therefore be due to the moderate inclusion level of thorn apple and the combined fruit and leaf supplementation which possibly provided beneficial phytogenic effects without excessive anti-nutritional interference. </w:t>
      </w:r>
    </w:p>
    <w:p w14:paraId="662E4CA6">
      <w:pPr>
        <w:jc w:val="both"/>
        <w:rPr>
          <w:rFonts w:ascii="Times New Roman" w:hAnsi="Times New Roman" w:cs="Times New Roman"/>
          <w:sz w:val="20"/>
          <w:szCs w:val="20"/>
        </w:rPr>
      </w:pPr>
      <w:r>
        <w:rPr>
          <w:rFonts w:ascii="Times New Roman" w:hAnsi="Times New Roman" w:cs="Times New Roman"/>
          <w:sz w:val="20"/>
          <w:szCs w:val="20"/>
        </w:rPr>
        <w:t>The whole gizzard values obtained ranged from 1.15% to 1.53%, with T1 recording the highest value while T2 and T3 recorded the least values. These values fall within the normal physiological range of approximately 1.0–2.0% reported for healthy broiler chickens. The findings agree with Ukorebi</w:t>
      </w:r>
      <w:r>
        <w:rPr>
          <w:rFonts w:ascii="Times New Roman" w:hAnsi="Times New Roman" w:cs="Times New Roman"/>
          <w:color w:val="EE0000"/>
          <w:sz w:val="20"/>
          <w:szCs w:val="20"/>
        </w:rPr>
        <w:t xml:space="preserve"> </w:t>
      </w:r>
      <w:r>
        <w:rPr>
          <w:rFonts w:ascii="Times New Roman" w:hAnsi="Times New Roman" w:cs="Times New Roman"/>
          <w:sz w:val="20"/>
          <w:szCs w:val="20"/>
        </w:rPr>
        <w:t xml:space="preserve">&amp; Akpet (2020), who reported whole gizzard values ranging from 1.20% to 1.60% in broiler chickens fed phytogenic leaf meal diets. The authors explained that phytogenic feed additives improved digestive activity without causing abnormal enlargement of digestive organs. The similarity in values with the present study suggests that thorn apple supplementation maintained normal digestive organ morphology. Similarly, Adegbeye </w:t>
      </w:r>
      <w:r>
        <w:rPr>
          <w:rFonts w:ascii="Times New Roman" w:hAnsi="Times New Roman" w:cs="Times New Roman"/>
          <w:i/>
          <w:sz w:val="20"/>
          <w:szCs w:val="20"/>
        </w:rPr>
        <w:t xml:space="preserve">et al. </w:t>
      </w:r>
      <w:r>
        <w:rPr>
          <w:rFonts w:ascii="Times New Roman" w:hAnsi="Times New Roman" w:cs="Times New Roman"/>
          <w:sz w:val="20"/>
          <w:szCs w:val="20"/>
        </w:rPr>
        <w:t xml:space="preserve">(2020) observed gizzard values ranging from 1.18% to 1.55% in broiler chickens supplemented with medicinal plant extracts and attributed the normal values to efficient feed grinding activity and proper digestive adaptation of the birds. In contrast, Agaji </w:t>
      </w:r>
      <w:r>
        <w:rPr>
          <w:rFonts w:ascii="Times New Roman" w:hAnsi="Times New Roman" w:cs="Times New Roman"/>
          <w:i/>
          <w:sz w:val="20"/>
          <w:szCs w:val="20"/>
        </w:rPr>
        <w:t xml:space="preserve">et al. </w:t>
      </w:r>
      <w:r>
        <w:rPr>
          <w:rFonts w:ascii="Times New Roman" w:hAnsi="Times New Roman" w:cs="Times New Roman"/>
          <w:sz w:val="20"/>
          <w:szCs w:val="20"/>
        </w:rPr>
        <w:t xml:space="preserve">(2024) reported relatively higher gizzard values above 1.80% in broiler chickens fed high levels of leaf meal supplementation. According to the authors, increased dietary fibre and anti-nutritional compounds may have increased muscular activity of the gizzard, thereby causing enlargement of the organ. The lower values observed in the present study may therefore indicate that thorn apple supplementation did not excessively increase dietary fibre burden or digestive stress. </w:t>
      </w:r>
    </w:p>
    <w:p w14:paraId="72FA128F">
      <w:pPr>
        <w:spacing w:after="0"/>
        <w:jc w:val="both"/>
        <w:rPr>
          <w:rFonts w:ascii="Times New Roman" w:hAnsi="Times New Roman" w:cs="Times New Roman"/>
          <w:sz w:val="20"/>
          <w:szCs w:val="20"/>
        </w:rPr>
      </w:pPr>
      <w:r>
        <w:rPr>
          <w:rFonts w:ascii="Times New Roman" w:hAnsi="Times New Roman" w:cs="Times New Roman"/>
          <w:sz w:val="20"/>
          <w:szCs w:val="20"/>
        </w:rPr>
        <w:t xml:space="preserve">The normal whole gizzard values obtained in the present study therefore suggest that thorn apple supplementation maintained normal digestive organ development and functionality in the experimental birds. The proventriculus values obtained ranged from 0.19% to 0.35%, with T1 recording the highest value while T3 recorded the least value which agrees findings with the report Daramola (2024), who reported proventriculus values ranging from 0.22% to 0.36% in broiler chickens fed phytogenic supplements. The relatively normal values obtained in the present study therefore indicate that thorn apple supplementation at moderate levels did not impair gastrointestinal physiology or induce digestive organ stress. Kidney falls within the normal range of healthy broiler chicken, which is line with the findings of Adegbeye </w:t>
      </w:r>
      <w:r>
        <w:rPr>
          <w:rFonts w:ascii="Times New Roman" w:hAnsi="Times New Roman" w:cs="Times New Roman"/>
          <w:i/>
          <w:sz w:val="20"/>
          <w:szCs w:val="20"/>
        </w:rPr>
        <w:t xml:space="preserve">et al. </w:t>
      </w:r>
      <w:r>
        <w:rPr>
          <w:rFonts w:ascii="Times New Roman" w:hAnsi="Times New Roman" w:cs="Times New Roman"/>
          <w:sz w:val="20"/>
          <w:szCs w:val="20"/>
        </w:rPr>
        <w:t xml:space="preserve">(2020), who observed kidney values ranging from 0.27% to 0.37% in broiler chickens fed medicinal plant supplements. The authors explained that the normal kidney values indicated absence of renal toxicity and effective metabolic adaptation of the birds to the dietary treatments. Similarly, Daramola (2024) reported kidney values between 0.28% and 0.38% in broiler chickens supplemented with phytogenic feed additives and attributed the values to efficient detoxification and normal physiological functioning of the kidneys. </w:t>
      </w:r>
    </w:p>
    <w:p w14:paraId="5782CFA9">
      <w:pPr>
        <w:spacing w:after="0"/>
        <w:jc w:val="both"/>
        <w:rPr>
          <w:rFonts w:ascii="Times New Roman" w:hAnsi="Times New Roman" w:cs="Times New Roman"/>
          <w:sz w:val="20"/>
          <w:szCs w:val="20"/>
        </w:rPr>
      </w:pPr>
      <w:r>
        <w:rPr>
          <w:rFonts w:ascii="Times New Roman" w:hAnsi="Times New Roman" w:cs="Times New Roman"/>
          <w:sz w:val="20"/>
          <w:szCs w:val="20"/>
        </w:rPr>
        <w:t xml:space="preserve">Haematological and serum biochemical parameters are reliable indicators of the physiological, immunological, and health status of broiler chickens subjected to dietary treatments. The higher PCV, Hb, and RBC values recorded in supplemented treatments suggest enhanced erythropoiesis and improved oxygen carrying capacity of the blood. This may indicate improved nutrient utilization and better physiological adaptation in birds fed thorn apple supplemented diets. The present findings closely agree with and Rafiu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(2025) and Okanlawon </w:t>
      </w:r>
      <w:r>
        <w:rPr>
          <w:rFonts w:ascii="Times New Roman" w:hAnsi="Times New Roman" w:cs="Times New Roman"/>
          <w:i/>
          <w:sz w:val="20"/>
          <w:szCs w:val="20"/>
        </w:rPr>
        <w:t>et al.</w:t>
      </w:r>
      <w:r>
        <w:rPr>
          <w:rFonts w:ascii="Times New Roman" w:hAnsi="Times New Roman" w:cs="Times New Roman"/>
          <w:sz w:val="20"/>
          <w:szCs w:val="20"/>
        </w:rPr>
        <w:t xml:space="preserve"> (2025), who reported PCV values ranging from 24.25 to 30.00%, Hb values ranging from 10.35 to 13.88 g/dL, and RBC values ranging from 2.26 to 2.93 ×10⁹/µL in broiler chickens fed varying levels of thorn apple (</w:t>
      </w:r>
      <w:r>
        <w:rPr>
          <w:rFonts w:ascii="Times New Roman" w:hAnsi="Times New Roman" w:cs="Times New Roman"/>
          <w:i/>
          <w:sz w:val="20"/>
          <w:szCs w:val="20"/>
        </w:rPr>
        <w:t>Datura stramonium</w:t>
      </w:r>
      <w:r>
        <w:rPr>
          <w:rFonts w:ascii="Times New Roman" w:hAnsi="Times New Roman" w:cs="Times New Roman"/>
          <w:sz w:val="20"/>
          <w:szCs w:val="20"/>
        </w:rPr>
        <w:t xml:space="preserve">) powder. The authors observed that birds fed 2 g/kg thorn apple supplementation recorded improved blood parameters and explained that the antioxidant and phytochemical constituents of thorn apple enhanced blood formation and physiological stability in the birds. The similarity between their findings and the present study may be attributed to the use of the same additive, </w:t>
      </w:r>
      <w:r>
        <w:rPr>
          <w:rFonts w:ascii="Times New Roman" w:hAnsi="Times New Roman" w:cs="Times New Roman"/>
          <w:i/>
          <w:sz w:val="20"/>
          <w:szCs w:val="20"/>
        </w:rPr>
        <w:t xml:space="preserve">Datura stramonium, </w:t>
      </w:r>
      <w:r>
        <w:rPr>
          <w:rFonts w:ascii="Times New Roman" w:hAnsi="Times New Roman" w:cs="Times New Roman"/>
          <w:sz w:val="20"/>
          <w:szCs w:val="20"/>
        </w:rPr>
        <w:t xml:space="preserve">at moderate inclusion levels capable of stimulating haematopoietic activities without inducing toxicity. The improved PCV and Hb values observed particularly in T2 and T4 in the present study may therefore suggest enhanced oxygen transport and improved metabolic efficiency resulting from thorn apple phytochemicals. Similarly, Rafiu </w:t>
      </w:r>
      <w:r>
        <w:rPr>
          <w:rFonts w:ascii="Times New Roman" w:hAnsi="Times New Roman" w:cs="Times New Roman"/>
          <w:i/>
          <w:sz w:val="20"/>
          <w:szCs w:val="20"/>
        </w:rPr>
        <w:t>et al.</w:t>
      </w:r>
      <w:r>
        <w:rPr>
          <w:rFonts w:ascii="Times New Roman" w:hAnsi="Times New Roman" w:cs="Times New Roman"/>
          <w:sz w:val="20"/>
          <w:szCs w:val="20"/>
        </w:rPr>
        <w:t xml:space="preserve"> (2025) in another study involving </w:t>
      </w:r>
      <w:r>
        <w:rPr>
          <w:rFonts w:ascii="Times New Roman" w:hAnsi="Times New Roman" w:cs="Times New Roman"/>
          <w:i/>
          <w:sz w:val="20"/>
          <w:szCs w:val="20"/>
        </w:rPr>
        <w:t>Datura stramonium</w:t>
      </w:r>
      <w:r>
        <w:rPr>
          <w:rFonts w:ascii="Times New Roman" w:hAnsi="Times New Roman" w:cs="Times New Roman"/>
          <w:sz w:val="20"/>
          <w:szCs w:val="20"/>
        </w:rPr>
        <w:t xml:space="preserve"> and </w:t>
      </w:r>
      <w:r>
        <w:rPr>
          <w:rFonts w:ascii="Times New Roman" w:hAnsi="Times New Roman" w:cs="Times New Roman"/>
          <w:i/>
          <w:sz w:val="20"/>
          <w:szCs w:val="20"/>
        </w:rPr>
        <w:t>Curcuma longa</w:t>
      </w:r>
      <w:r>
        <w:rPr>
          <w:rFonts w:ascii="Times New Roman" w:hAnsi="Times New Roman" w:cs="Times New Roman"/>
          <w:sz w:val="20"/>
          <w:szCs w:val="20"/>
        </w:rPr>
        <w:t xml:space="preserve"> blend reported PCV values ranging from 25.50–29.50%, Hb values ranging from 120.60–141.00 g/L, and RBC values ranging from 2.14–2.56 ×10¹²/L. The authors explained that the improvement in blood indices resulted from the synergistic antioxidant activities of medicinal plant phytochemicals which enhanced erythrocyte production and minimized oxidative damage to blood cells. The similarity with the present findings further supports the suggestion that thorn apple at moderate dietary levels possesses haematinic properties capable of improving blood quality and physiological performance in broiler chickens.</w:t>
      </w:r>
    </w:p>
    <w:p w14:paraId="0C5931B7">
      <w:pPr>
        <w:spacing w:after="0"/>
        <w:jc w:val="both"/>
        <w:rPr>
          <w:rFonts w:ascii="Times New Roman" w:hAnsi="Times New Roman" w:cs="Times New Roman"/>
          <w:sz w:val="20"/>
          <w:szCs w:val="20"/>
        </w:rPr>
      </w:pPr>
      <w:r>
        <w:rPr>
          <w:rFonts w:ascii="Times New Roman" w:hAnsi="Times New Roman" w:cs="Times New Roman"/>
          <w:sz w:val="20"/>
          <w:szCs w:val="20"/>
        </w:rPr>
        <w:t xml:space="preserve">White blood cell count was not significantly (P&gt;0.05) influenced and ranged from 124.00–134.95 ×10³/µL. The absence of significant difference in WBC suggests that thorn apple supplementation did not provoke severe infection or pathological immune challenge among the birds. Stable WBC values generally indicate good immune stability and normal physiological response to dietary treatments. Since thorn apple contains phytochemical (Alkaloid and phenol) which help to fight against foreign body that might want to damage the body system as reported by Rafiu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(2025). Platelet count significantly (P&lt;0.05) ranged from 21.00 ×10⁹/L in T1 and T3 to 34.50 ×10⁹/L in T4, while plateletcrit ranged from 0.27% in T1 to 0.46% in T4. The increased platelet values observed in T4 suggest improved thrombopoietic activity and better blood clotting potential. This may indicate enhanced circulatory stability and haemostatic function in birds receiving combined thorn apple fruit and leaf supplementation. The platelet values obtained in the present study are comparable with Rafiu </w:t>
      </w:r>
      <w:r>
        <w:rPr>
          <w:rFonts w:ascii="Times New Roman" w:hAnsi="Times New Roman" w:cs="Times New Roman"/>
          <w:i/>
          <w:iCs/>
          <w:sz w:val="20"/>
          <w:szCs w:val="20"/>
        </w:rPr>
        <w:t>et al.</w:t>
      </w:r>
      <w:r>
        <w:rPr>
          <w:rFonts w:ascii="Times New Roman" w:hAnsi="Times New Roman" w:cs="Times New Roman"/>
          <w:sz w:val="20"/>
          <w:szCs w:val="20"/>
        </w:rPr>
        <w:t xml:space="preserve"> (2025), who reported platelet values ranging from 29.00–42.00 ×10⁹/L in broilers fed thorn apple diets. The similarity suggests that thorn apple supplementation may positively influence platelet production and blood coagulation mechanisms in broilers.</w:t>
      </w:r>
    </w:p>
    <w:p w14:paraId="00E3BF19">
      <w:pPr>
        <w:spacing w:after="0"/>
        <w:jc w:val="both"/>
        <w:rPr>
          <w:rFonts w:ascii="Times New Roman" w:hAnsi="Times New Roman" w:cs="Times New Roman"/>
          <w:sz w:val="20"/>
          <w:szCs w:val="20"/>
        </w:rPr>
      </w:pPr>
      <w:r>
        <w:rPr>
          <w:rFonts w:ascii="Times New Roman" w:hAnsi="Times New Roman" w:cs="Times New Roman"/>
          <w:sz w:val="20"/>
          <w:szCs w:val="20"/>
        </w:rPr>
        <w:t xml:space="preserve">The result for serum biochemistry shows that the value obtain for the study falls within the normal range as reported by Merck 2012 for a healthy chicken. The value for Aspartate Amino Transferase and alanineamino-transferase levels across the treatment group suggest that thorn apple might exert hepato-protective effects. This aligns with studies that have reported the anti-oxidant properties of turmeric particularly its active compound curcumin which is known to protect liver cells from damage by neutralizing free radicals (Erliassa </w:t>
      </w:r>
      <w:r>
        <w:rPr>
          <w:rFonts w:ascii="Times New Roman" w:hAnsi="Times New Roman" w:cs="Times New Roman"/>
          <w:i/>
          <w:sz w:val="20"/>
          <w:szCs w:val="20"/>
        </w:rPr>
        <w:t>et al.</w:t>
      </w:r>
      <w:r>
        <w:rPr>
          <w:rFonts w:ascii="Times New Roman" w:hAnsi="Times New Roman" w:cs="Times New Roman"/>
          <w:sz w:val="20"/>
          <w:szCs w:val="20"/>
        </w:rPr>
        <w:t>, 2009). The significant increase in alkaline phosphate levels particularly in the T5 and T4 treatments.</w:t>
      </w:r>
    </w:p>
    <w:p w14:paraId="6A4F2CEC">
      <w:pPr>
        <w:jc w:val="both"/>
        <w:rPr>
          <w:rFonts w:ascii="Times New Roman" w:hAnsi="Times New Roman" w:cs="Times New Roman"/>
          <w:sz w:val="20"/>
          <w:szCs w:val="20"/>
        </w:rPr>
      </w:pPr>
      <w:r>
        <w:rPr>
          <w:rFonts w:ascii="Times New Roman" w:hAnsi="Times New Roman" w:cs="Times New Roman"/>
          <w:sz w:val="20"/>
          <w:szCs w:val="20"/>
        </w:rPr>
        <w:t xml:space="preserve">Nutrient digestibility higher crude protein observed in T4 suggests improved protein breakdown and absorption which may be associated with the synergistic effects of phytochemicals present in both the fruit and leaf portions of </w:t>
      </w:r>
      <w:r>
        <w:rPr>
          <w:rFonts w:ascii="Times New Roman" w:hAnsi="Times New Roman" w:cs="Times New Roman"/>
          <w:i/>
          <w:sz w:val="20"/>
          <w:szCs w:val="20"/>
        </w:rPr>
        <w:t>Datura stramonium</w:t>
      </w:r>
      <w:r>
        <w:rPr>
          <w:rFonts w:ascii="Times New Roman" w:hAnsi="Times New Roman" w:cs="Times New Roman"/>
          <w:sz w:val="20"/>
          <w:szCs w:val="20"/>
        </w:rPr>
        <w:t xml:space="preserve">. </w:t>
      </w:r>
    </w:p>
    <w:p w14:paraId="3947BF7F">
      <w:pPr>
        <w:spacing w:after="0"/>
        <w:jc w:val="both"/>
        <w:rPr>
          <w:rFonts w:ascii="Times New Roman" w:hAnsi="Times New Roman" w:cs="Times New Roman"/>
          <w:sz w:val="20"/>
          <w:szCs w:val="20"/>
        </w:rPr>
      </w:pPr>
      <w:r>
        <w:rPr>
          <w:rFonts w:ascii="Times New Roman" w:hAnsi="Times New Roman" w:cs="Times New Roman"/>
          <w:sz w:val="20"/>
          <w:szCs w:val="20"/>
        </w:rPr>
        <w:t xml:space="preserve">These phytochemicals, particularly flavonoids and phenolic compounds, may stimulate digestive enzyme secretion and improve intestinal absorptive capacity at moderate inclusion levels. The present findings agree with Rafiu </w:t>
      </w:r>
      <w:r>
        <w:rPr>
          <w:rFonts w:ascii="Times New Roman" w:hAnsi="Times New Roman" w:cs="Times New Roman"/>
          <w:i/>
          <w:sz w:val="20"/>
          <w:szCs w:val="20"/>
        </w:rPr>
        <w:t>et al.</w:t>
      </w:r>
      <w:r>
        <w:rPr>
          <w:rFonts w:ascii="Times New Roman" w:hAnsi="Times New Roman" w:cs="Times New Roman"/>
          <w:sz w:val="20"/>
          <w:szCs w:val="20"/>
        </w:rPr>
        <w:t xml:space="preserve"> (2025), who reported improved growth performance and feed conversion ratio in broiler chickens fed 2 g/kg thorn apple supplementation. </w:t>
      </w:r>
    </w:p>
    <w:p w14:paraId="5FF43D8F">
      <w:pPr>
        <w:spacing w:after="0"/>
        <w:jc w:val="both"/>
        <w:rPr>
          <w:rFonts w:ascii="Times New Roman" w:hAnsi="Times New Roman" w:cs="Times New Roman"/>
          <w:sz w:val="20"/>
          <w:szCs w:val="20"/>
        </w:rPr>
      </w:pPr>
      <w:r>
        <w:rPr>
          <w:rFonts w:ascii="Times New Roman" w:hAnsi="Times New Roman" w:cs="Times New Roman"/>
          <w:sz w:val="20"/>
          <w:szCs w:val="20"/>
        </w:rPr>
        <w:t xml:space="preserve">Crude fibre, Ether extract was not significantly (P&gt;0.05) influenced by the treatments and ranged from 79.53% to 81.89%. The absence of significant differences indicates that thorn apple supplementation did not markedly alter fibre degradation or fibre utilization among the birds. This may suggest that the inclusion level used in the present study was not high enough to substantially influence fibre fermenting microorganisms or intestinal motility. The crude fibre values obtained in the present study are comparable with the values reported by Egbewande (2020), who observed crude fibre digestibility values ranging from 70.80–84.83% in broiler chickens. The similarity in values suggests that fibre utilization remained within the normal physiological range expected in healthy broilers. The higher ether extract values in diets suggest improved lipid digestion and utilization. This improvement may be attributed to enhanced bile secretion and lipid emulsification induced by phytochemicals present in thorn apple. The present findings agree with Egbewande (2020), who stated that improved fat digestibility resulted from enhanced nutrient metabolism and better digestive efficiency in birds fed improved diets. Although the values in the present study were lower, both studies demonstrated improved ether extract digestibility following dietary supplementation. The lower values observed in the present study may be associated with the alkaloidal nature of thorn apple which may slightly limit maximum lipid utilization despite improving digestive activities. Ash digestibility significantly (P&lt;0.05) ranged from 71.32% in T3 to 79.79% in T2. The higher ash observed in T2 indicates improved mineral utilization and absorption among birds fed thorn apple fruit supplementation. This may suggest that the fruit portion of thorn apple contains phytochemical constituents capable of improving mineral bioavailability and intestinal absorption efficiency. Dry matter digestibility also significantly (P&lt;0.05) ranged from 76.06% in T1 to 83.72% in T2. The improved DMD values observed in supplemented treatments indicate enhanced overall nutrient utilization and feed efficiency. Rafiu </w:t>
      </w:r>
      <w:r>
        <w:rPr>
          <w:rFonts w:ascii="Times New Roman" w:hAnsi="Times New Roman" w:cs="Times New Roman"/>
          <w:i/>
          <w:sz w:val="20"/>
          <w:szCs w:val="20"/>
        </w:rPr>
        <w:t>et al.</w:t>
      </w:r>
      <w:r>
        <w:rPr>
          <w:rFonts w:ascii="Times New Roman" w:hAnsi="Times New Roman" w:cs="Times New Roman"/>
          <w:sz w:val="20"/>
          <w:szCs w:val="20"/>
        </w:rPr>
        <w:t xml:space="preserve"> (2025) similarly reported improved feed conversion ratio and growth performance in broilers fed thorn apple supplementation and explained that thorn apple inclusion enhanced nutrient utilization efficiency. The similarity between both studies may be due to the ability of thorn apple phytochemicals to stimulate digestive processes and improve nutrient assimilation at moderate dietary levels. Nitrogen free extract digestibility significantly (P &lt; 0.05) ranged from 88.68% in T1 to 96.34% in T2, indicating efficient carbohydrate utilization among the supplemented birds. The higher NFED values obtained in T2 suggest that thorn apple fruit supplementation improved carbohydrate digestion and energy extraction from the diet. High nitrogen free extract digestibility generally reflects improved metabolizable energy utilization and enhanced digestive efficiency in broilers. However, the slightly lower digestibility values compared with some conventional feed additives may be linked to the presence of naturally occurring alkaloids and anti to nutritional compounds in thorn apple which may moderately limit maximum nutrient utilization at certain inclusion levels.</w:t>
      </w:r>
    </w:p>
    <w:p w14:paraId="5C4371C5">
      <w:pPr>
        <w:spacing w:after="0"/>
        <w:jc w:val="both"/>
        <w:rPr>
          <w:rFonts w:ascii="Times New Roman" w:hAnsi="Times New Roman" w:cs="Times New Roman"/>
          <w:b/>
          <w:sz w:val="20"/>
          <w:szCs w:val="20"/>
        </w:rPr>
      </w:pPr>
    </w:p>
    <w:p w14:paraId="05506CC8">
      <w:pPr>
        <w:spacing w:after="0"/>
        <w:jc w:val="both"/>
        <w:rPr>
          <w:rFonts w:ascii="Times New Roman" w:hAnsi="Times New Roman" w:cs="Times New Roman"/>
          <w:b/>
          <w:sz w:val="20"/>
          <w:szCs w:val="20"/>
        </w:rPr>
      </w:pPr>
      <w:r>
        <w:rPr>
          <w:rFonts w:ascii="Times New Roman" w:hAnsi="Times New Roman" w:cs="Times New Roman"/>
          <w:b/>
          <w:sz w:val="20"/>
          <w:szCs w:val="20"/>
        </w:rPr>
        <w:t xml:space="preserve">CONCLUSIONAND RECOMMENDATION </w:t>
      </w:r>
    </w:p>
    <w:p w14:paraId="2760DA09">
      <w:pPr>
        <w:jc w:val="both"/>
        <w:rPr>
          <w:rFonts w:ascii="Times New Roman" w:hAnsi="Times New Roman" w:cs="Times New Roman"/>
          <w:sz w:val="20"/>
          <w:szCs w:val="20"/>
        </w:rPr>
      </w:pPr>
      <w:r>
        <w:rPr>
          <w:rFonts w:ascii="Times New Roman" w:hAnsi="Times New Roman" w:cs="Times New Roman"/>
          <w:sz w:val="20"/>
          <w:szCs w:val="20"/>
        </w:rPr>
        <w:t>The study concluded that the inclusion level of Thorn Apple fruit, seeds and their blend had positive effects and no detrimental effects on growth performance, carcass, organ, nutrient digestibility, and haematology and serum biochemistry broiler chicken. It is therefore, recommended that feeding broiler chicken with diet that contain 1g of leaf and 1g of fruit blend of Thorn apple will help to improve overall performance and health status of broiler chicken to achieve optimum production level.</w:t>
      </w:r>
    </w:p>
    <w:p w14:paraId="51398099">
      <w:pPr>
        <w:spacing w:after="0"/>
        <w:jc w:val="both"/>
        <w:rPr>
          <w:rFonts w:ascii="Times New Roman" w:hAnsi="Times New Roman" w:cs="Times New Roman"/>
          <w:b/>
          <w:sz w:val="20"/>
          <w:szCs w:val="20"/>
        </w:rPr>
      </w:pPr>
      <w:r>
        <w:rPr>
          <w:rFonts w:ascii="Times New Roman" w:hAnsi="Times New Roman" w:cs="Times New Roman"/>
          <w:b/>
          <w:sz w:val="20"/>
          <w:szCs w:val="20"/>
        </w:rPr>
        <w:t>REFERENCES</w:t>
      </w:r>
      <w:r>
        <w:rPr>
          <w:rFonts w:ascii="Times New Roman" w:hAnsi="Times New Roman" w:cs="Times New Roman"/>
          <w:b/>
          <w:sz w:val="20"/>
          <w:szCs w:val="20"/>
        </w:rPr>
        <w:tab/>
      </w:r>
    </w:p>
    <w:p w14:paraId="2B7F39B0">
      <w:pPr>
        <w:spacing w:after="0"/>
        <w:ind w:left="540" w:hanging="540"/>
        <w:jc w:val="both"/>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Adegbeye, M. J., Reddy, P. R. K., Obaisi, A. I., Elghandour, M. M. Y., Oyebamiji, K. J., Salem,  A. Z. M. &amp; Morakinyo-Fasipe, O. T. (2020). Sustainable agriculture options for production, greenhouse gasses and pollution alleviation, and nutrient recycling in emerging and transitional nations—An overview. </w:t>
      </w:r>
      <w:r>
        <w:rPr>
          <w:rFonts w:ascii="Times New Roman" w:hAnsi="Times New Roman" w:eastAsia="Times New Roman" w:cs="Times New Roman"/>
          <w:i/>
          <w:iCs/>
          <w:sz w:val="18"/>
          <w:szCs w:val="18"/>
        </w:rPr>
        <w:t xml:space="preserve">Journal of Cleaner Production, </w:t>
      </w:r>
      <w:r>
        <w:rPr>
          <w:rFonts w:ascii="Times New Roman" w:hAnsi="Times New Roman" w:eastAsia="Times New Roman" w:cs="Times New Roman"/>
          <w:iCs/>
          <w:sz w:val="18"/>
          <w:szCs w:val="18"/>
        </w:rPr>
        <w:t>242</w:t>
      </w:r>
      <w:r>
        <w:rPr>
          <w:rFonts w:ascii="Times New Roman" w:hAnsi="Times New Roman" w:eastAsia="Times New Roman" w:cs="Times New Roman"/>
          <w:sz w:val="18"/>
          <w:szCs w:val="18"/>
        </w:rPr>
        <w:t>, 118319.</w:t>
      </w:r>
    </w:p>
    <w:p w14:paraId="3D08C952">
      <w:pPr>
        <w:spacing w:after="0"/>
        <w:ind w:left="540" w:hanging="540"/>
        <w:jc w:val="both"/>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Agaji, E. A., Omede, A. A. &amp; Tanko, R. J. (2024). Effect of medicinal plant leaf meal supplementation on carcass characteristics and organ weights of broiler chickens. </w:t>
      </w:r>
      <w:r>
        <w:rPr>
          <w:rFonts w:ascii="Times New Roman" w:hAnsi="Times New Roman" w:eastAsia="Times New Roman" w:cs="Times New Roman"/>
          <w:i/>
          <w:iCs/>
          <w:sz w:val="18"/>
          <w:szCs w:val="18"/>
        </w:rPr>
        <w:t xml:space="preserve">Nigerian Journal of Animal Science, </w:t>
      </w:r>
      <w:r>
        <w:rPr>
          <w:rFonts w:ascii="Times New Roman" w:hAnsi="Times New Roman" w:eastAsia="Times New Roman" w:cs="Times New Roman"/>
          <w:iCs/>
          <w:sz w:val="18"/>
          <w:szCs w:val="18"/>
        </w:rPr>
        <w:t>26</w:t>
      </w:r>
      <w:r>
        <w:rPr>
          <w:rFonts w:ascii="Times New Roman" w:hAnsi="Times New Roman" w:eastAsia="Times New Roman" w:cs="Times New Roman"/>
          <w:sz w:val="18"/>
          <w:szCs w:val="18"/>
        </w:rPr>
        <w:t>(1), 112–121.</w:t>
      </w:r>
    </w:p>
    <w:p w14:paraId="1776300B">
      <w:pPr>
        <w:spacing w:after="0"/>
        <w:ind w:left="540" w:hanging="540"/>
        <w:jc w:val="both"/>
        <w:rPr>
          <w:rFonts w:ascii="Times New Roman" w:hAnsi="Times New Roman" w:eastAsia="Times New Roman" w:cs="Times New Roman"/>
          <w:sz w:val="18"/>
          <w:szCs w:val="18"/>
        </w:rPr>
      </w:pPr>
      <w:r>
        <w:rPr>
          <w:rFonts w:ascii="Times New Roman" w:hAnsi="Times New Roman" w:cs="Times New Roman"/>
          <w:sz w:val="18"/>
          <w:szCs w:val="18"/>
        </w:rPr>
        <w:t xml:space="preserve">Akinyemi., K. O., Oladapo, O., Okwara, C. E., Ibe, C. &amp; Fasure, K. A. (2005). Screening of crude extracts of six medicinal plants used in South-West Nigeria unorthodox medicine for antimethicilin resistant-Staphylococcus aureus activity. BMC Complementary and Alternative Medicine, 5, 5-8. </w:t>
      </w:r>
      <w:r>
        <w:fldChar w:fldCharType="begin"/>
      </w:r>
      <w:r>
        <w:instrText xml:space="preserve"> HYPERLINK "https://doi.org/10.1186/1472-6882-5-6" </w:instrText>
      </w:r>
      <w:r>
        <w:fldChar w:fldCharType="separate"/>
      </w:r>
      <w:r>
        <w:rPr>
          <w:rStyle w:val="12"/>
          <w:rFonts w:ascii="Times New Roman" w:hAnsi="Times New Roman" w:cs="Times New Roman"/>
          <w:sz w:val="18"/>
          <w:szCs w:val="18"/>
        </w:rPr>
        <w:t>https://doi.org/10.1186/1472-6882-5-6</w:t>
      </w:r>
      <w:r>
        <w:rPr>
          <w:rStyle w:val="12"/>
          <w:rFonts w:ascii="Times New Roman" w:hAnsi="Times New Roman" w:cs="Times New Roman"/>
          <w:sz w:val="18"/>
          <w:szCs w:val="18"/>
        </w:rPr>
        <w:fldChar w:fldCharType="end"/>
      </w:r>
    </w:p>
    <w:p w14:paraId="12DDA0B5">
      <w:pPr>
        <w:spacing w:after="0"/>
        <w:ind w:left="540" w:hanging="540"/>
        <w:jc w:val="both"/>
        <w:rPr>
          <w:rFonts w:ascii="Times New Roman" w:hAnsi="Times New Roman" w:eastAsia="Times New Roman" w:cs="Times New Roman"/>
          <w:sz w:val="18"/>
          <w:szCs w:val="18"/>
        </w:rPr>
      </w:pPr>
      <w:r>
        <w:rPr>
          <w:rFonts w:ascii="Times New Roman" w:hAnsi="Times New Roman" w:cs="Times New Roman"/>
          <w:sz w:val="18"/>
          <w:szCs w:val="18"/>
        </w:rPr>
        <w:t xml:space="preserve">AOAC (2000) </w:t>
      </w:r>
      <w:r>
        <w:rPr>
          <w:rStyle w:val="9"/>
          <w:rFonts w:ascii="Times New Roman" w:hAnsi="Times New Roman" w:cs="Times New Roman"/>
          <w:sz w:val="18"/>
          <w:szCs w:val="18"/>
        </w:rPr>
        <w:t>Official Methods of Analysis of AOAC International</w:t>
      </w:r>
      <w:r>
        <w:rPr>
          <w:rFonts w:ascii="Times New Roman" w:hAnsi="Times New Roman" w:cs="Times New Roman"/>
          <w:sz w:val="18"/>
          <w:szCs w:val="18"/>
        </w:rPr>
        <w:t>. 17th ed. Gaithersburg, MD,</w:t>
      </w:r>
    </w:p>
    <w:p w14:paraId="26224646">
      <w:pPr>
        <w:spacing w:after="0"/>
        <w:ind w:left="540" w:hanging="540"/>
        <w:jc w:val="both"/>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Daramola, O. T. (2024). Influence of phytogenic feed additives on carcass traits and internal organs of broiler chickens. </w:t>
      </w:r>
      <w:r>
        <w:rPr>
          <w:rFonts w:ascii="Times New Roman" w:hAnsi="Times New Roman" w:eastAsia="Times New Roman" w:cs="Times New Roman"/>
          <w:i/>
          <w:iCs/>
          <w:sz w:val="18"/>
          <w:szCs w:val="18"/>
        </w:rPr>
        <w:t>Nigerian Journal of Animal Production, 51</w:t>
      </w:r>
      <w:r>
        <w:rPr>
          <w:rFonts w:ascii="Times New Roman" w:hAnsi="Times New Roman" w:eastAsia="Times New Roman" w:cs="Times New Roman"/>
          <w:sz w:val="18"/>
          <w:szCs w:val="18"/>
        </w:rPr>
        <w:t>(2), 926–930.</w:t>
      </w:r>
    </w:p>
    <w:p w14:paraId="13ED9593">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Eshun, K. &amp; He, Q. (2004). Aloe vera: A valuable ingredient for the food, pharmaceutical and cosmetic industries- a review. Critical Reviews in Food Science and Nutrition, 44(2), 91-96</w:t>
      </w:r>
    </w:p>
    <w:p w14:paraId="1ECBFE00">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 xml:space="preserve">Egbewande, O. O. (2020). Nutrient digestibility and carcass characteristics of broiler chickens fed different sources of animal protein. </w:t>
      </w:r>
      <w:r>
        <w:rPr>
          <w:rStyle w:val="9"/>
          <w:rFonts w:ascii="Times New Roman" w:hAnsi="Times New Roman" w:cs="Times New Roman"/>
          <w:sz w:val="18"/>
          <w:szCs w:val="18"/>
        </w:rPr>
        <w:t xml:space="preserve">Nigerian Journal of Animal Production, </w:t>
      </w:r>
      <w:r>
        <w:rPr>
          <w:rStyle w:val="9"/>
          <w:rFonts w:ascii="Times New Roman" w:hAnsi="Times New Roman" w:cs="Times New Roman"/>
          <w:i w:val="0"/>
          <w:sz w:val="18"/>
          <w:szCs w:val="18"/>
        </w:rPr>
        <w:t>47</w:t>
      </w:r>
      <w:r>
        <w:rPr>
          <w:rFonts w:ascii="Times New Roman" w:hAnsi="Times New Roman" w:cs="Times New Roman"/>
          <w:sz w:val="18"/>
          <w:szCs w:val="18"/>
        </w:rPr>
        <w:t xml:space="preserve">(3), 225–233. </w:t>
      </w:r>
    </w:p>
    <w:p w14:paraId="1C956B4F">
      <w:pPr>
        <w:spacing w:after="0"/>
        <w:ind w:left="540" w:hanging="540"/>
        <w:jc w:val="both"/>
        <w:rPr>
          <w:rFonts w:ascii="Times New Roman" w:hAnsi="Times New Roman" w:cs="Times New Roman"/>
          <w:sz w:val="18"/>
          <w:szCs w:val="18"/>
        </w:rPr>
      </w:pPr>
      <w:r>
        <w:rPr>
          <w:rFonts w:ascii="Times New Roman" w:hAnsi="Times New Roman" w:eastAsia="Times New Roman" w:cs="Times New Roman"/>
          <w:sz w:val="18"/>
          <w:szCs w:val="18"/>
        </w:rPr>
        <w:t>Flees, J. J., Emami, N. K., Greene, E., Ganguly, B. &amp; Dridi, S.</w:t>
      </w:r>
      <w:r>
        <w:rPr>
          <w:rFonts w:ascii="Times New Roman" w:hAnsi="Times New Roman" w:cs="Times New Roman"/>
          <w:sz w:val="18"/>
          <w:szCs w:val="18"/>
        </w:rPr>
        <w:t xml:space="preserve"> </w:t>
      </w:r>
      <w:r>
        <w:rPr>
          <w:rFonts w:ascii="Times New Roman" w:hAnsi="Times New Roman" w:eastAsia="Times New Roman" w:cs="Times New Roman"/>
          <w:sz w:val="18"/>
          <w:szCs w:val="18"/>
        </w:rPr>
        <w:t xml:space="preserve">(2021). Phytogenic water additives improve broiler growth performance via modulation of intermediary metabolism-related signaling pathways. </w:t>
      </w:r>
      <w:r>
        <w:rPr>
          <w:rFonts w:ascii="Times New Roman" w:hAnsi="Times New Roman" w:eastAsia="Times New Roman" w:cs="Times New Roman"/>
          <w:i/>
          <w:iCs/>
          <w:sz w:val="18"/>
          <w:szCs w:val="18"/>
        </w:rPr>
        <w:t xml:space="preserve">Animals, </w:t>
      </w:r>
      <w:r>
        <w:rPr>
          <w:rFonts w:ascii="Times New Roman" w:hAnsi="Times New Roman" w:eastAsia="Times New Roman" w:cs="Times New Roman"/>
          <w:iCs/>
          <w:sz w:val="18"/>
          <w:szCs w:val="18"/>
        </w:rPr>
        <w:t>11</w:t>
      </w:r>
      <w:r>
        <w:rPr>
          <w:rFonts w:ascii="Times New Roman" w:hAnsi="Times New Roman" w:eastAsia="Times New Roman" w:cs="Times New Roman"/>
          <w:sz w:val="18"/>
          <w:szCs w:val="18"/>
        </w:rPr>
        <w:t xml:space="preserve">(3), 750. </w:t>
      </w:r>
      <w:r>
        <w:fldChar w:fldCharType="begin"/>
      </w:r>
      <w:r>
        <w:instrText xml:space="preserve"> HYPERLINK "https://doi.org/10.3390/ani11030750" </w:instrText>
      </w:r>
      <w:r>
        <w:fldChar w:fldCharType="separate"/>
      </w:r>
      <w:r>
        <w:rPr>
          <w:rStyle w:val="12"/>
          <w:rFonts w:ascii="Times New Roman" w:hAnsi="Times New Roman" w:eastAsia="Times New Roman" w:cs="Times New Roman"/>
          <w:sz w:val="18"/>
          <w:szCs w:val="18"/>
        </w:rPr>
        <w:t>https://doi.org/10.3390/ani11030750</w:t>
      </w:r>
      <w:r>
        <w:rPr>
          <w:rStyle w:val="12"/>
          <w:rFonts w:ascii="Times New Roman" w:hAnsi="Times New Roman" w:eastAsia="Times New Roman" w:cs="Times New Roman"/>
          <w:sz w:val="18"/>
          <w:szCs w:val="18"/>
        </w:rPr>
        <w:fldChar w:fldCharType="end"/>
      </w:r>
    </w:p>
    <w:p w14:paraId="666183CC">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 xml:space="preserve">Google (2025). </w:t>
      </w:r>
      <w:r>
        <w:rPr>
          <w:rStyle w:val="9"/>
          <w:rFonts w:ascii="Times New Roman" w:hAnsi="Times New Roman" w:cs="Times New Roman"/>
          <w:sz w:val="18"/>
          <w:szCs w:val="18"/>
        </w:rPr>
        <w:t>Ladidke Akintola University of Technology, Ogbomoso, Nigeria – climate and geographical data</w:t>
      </w:r>
      <w:r>
        <w:rPr>
          <w:rFonts w:ascii="Times New Roman" w:hAnsi="Times New Roman" w:cs="Times New Roman"/>
          <w:sz w:val="18"/>
          <w:szCs w:val="18"/>
        </w:rPr>
        <w:t xml:space="preserve">. </w:t>
      </w:r>
      <w:r>
        <w:rPr>
          <w:rFonts w:ascii="Times New Roman" w:hAnsi="Times New Roman" w:cs="Times New Roman"/>
          <w:i/>
          <w:sz w:val="18"/>
          <w:szCs w:val="18"/>
        </w:rPr>
        <w:t>Google Maps</w:t>
      </w:r>
      <w:r>
        <w:rPr>
          <w:rFonts w:ascii="Times New Roman" w:hAnsi="Times New Roman" w:cs="Times New Roman"/>
          <w:sz w:val="18"/>
          <w:szCs w:val="18"/>
        </w:rPr>
        <w:t xml:space="preserve">. Retrieved February 19, 2026, from </w:t>
      </w:r>
      <w:r>
        <w:fldChar w:fldCharType="begin"/>
      </w:r>
      <w:r>
        <w:instrText xml:space="preserve"> HYPERLINK "https://www.google.com" </w:instrText>
      </w:r>
      <w:r>
        <w:fldChar w:fldCharType="separate"/>
      </w:r>
      <w:r>
        <w:rPr>
          <w:rStyle w:val="12"/>
          <w:rFonts w:ascii="Times New Roman" w:hAnsi="Times New Roman" w:cs="Times New Roman"/>
          <w:sz w:val="18"/>
          <w:szCs w:val="18"/>
        </w:rPr>
        <w:t>https://www.google.com</w:t>
      </w:r>
      <w:r>
        <w:rPr>
          <w:rStyle w:val="12"/>
          <w:rFonts w:ascii="Times New Roman" w:hAnsi="Times New Roman" w:cs="Times New Roman"/>
          <w:sz w:val="18"/>
          <w:szCs w:val="18"/>
        </w:rPr>
        <w:fldChar w:fldCharType="end"/>
      </w:r>
    </w:p>
    <w:p w14:paraId="14EE184C">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Haen, P. J. (1995). “Principles of Hematolog”, Brown Communications, Dubuque, pp. 454.</w:t>
      </w:r>
    </w:p>
    <w:p w14:paraId="25A33D76">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 xml:space="preserve">Iranloye, B.O. (2002). Effect of chronic garlic feeding on some haematological parameters. </w:t>
      </w:r>
      <w:r>
        <w:rPr>
          <w:rFonts w:ascii="Times New Roman" w:hAnsi="Times New Roman" w:cs="Times New Roman"/>
          <w:i/>
          <w:iCs/>
          <w:sz w:val="18"/>
          <w:szCs w:val="18"/>
        </w:rPr>
        <w:t>Africa. Journal Biomedical Research</w:t>
      </w:r>
      <w:r>
        <w:rPr>
          <w:rFonts w:ascii="Times New Roman" w:hAnsi="Times New Roman" w:cs="Times New Roman"/>
          <w:sz w:val="18"/>
          <w:szCs w:val="18"/>
        </w:rPr>
        <w:t>, 5: 81- 82.</w:t>
      </w:r>
    </w:p>
    <w:p w14:paraId="5D10DAD0">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 xml:space="preserve">Kohn, R.A. and Allen, M.S. (1995) Enrichment of proteolitic activity relative to Nitrogen in preparation from the rumen for </w:t>
      </w:r>
      <w:r>
        <w:rPr>
          <w:rFonts w:ascii="Times New Roman" w:hAnsi="Times New Roman" w:cs="Times New Roman"/>
          <w:i/>
          <w:iCs/>
          <w:sz w:val="18"/>
          <w:szCs w:val="18"/>
        </w:rPr>
        <w:t xml:space="preserve">in vitro </w:t>
      </w:r>
      <w:r>
        <w:rPr>
          <w:rFonts w:ascii="Times New Roman" w:hAnsi="Times New Roman" w:cs="Times New Roman"/>
          <w:sz w:val="18"/>
          <w:szCs w:val="18"/>
        </w:rPr>
        <w:t xml:space="preserve">studies. </w:t>
      </w:r>
      <w:r>
        <w:rPr>
          <w:rFonts w:ascii="Times New Roman" w:hAnsi="Times New Roman" w:cs="Times New Roman"/>
          <w:i/>
          <w:iCs/>
          <w:sz w:val="18"/>
          <w:szCs w:val="18"/>
        </w:rPr>
        <w:t>Animal Feed Science Technology, 52(1/2): 1-14.</w:t>
      </w:r>
      <w:r>
        <w:rPr>
          <w:rFonts w:ascii="Times New Roman" w:hAnsi="Times New Roman" w:cs="Times New Roman"/>
          <w:sz w:val="18"/>
          <w:szCs w:val="18"/>
        </w:rPr>
        <w:t>793937</w:t>
      </w:r>
    </w:p>
    <w:p w14:paraId="107D7DBC">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 xml:space="preserve">Khan, R. U., Naz, S., Nikousefat, Z., Tufarelli, V., Laudadio, V., and Dario, C. (2012). Potential applications of </w:t>
      </w:r>
      <w:r>
        <w:rPr>
          <w:rFonts w:ascii="Times New Roman" w:hAnsi="Times New Roman" w:cs="Times New Roman"/>
          <w:i/>
          <w:sz w:val="18"/>
          <w:szCs w:val="18"/>
        </w:rPr>
        <w:t>Nigella sativa</w:t>
      </w:r>
      <w:r>
        <w:rPr>
          <w:rFonts w:ascii="Times New Roman" w:hAnsi="Times New Roman" w:cs="Times New Roman"/>
          <w:sz w:val="18"/>
          <w:szCs w:val="18"/>
        </w:rPr>
        <w:t xml:space="preserve"> in poultry health and production: A review. </w:t>
      </w:r>
      <w:r>
        <w:rPr>
          <w:rFonts w:ascii="Times New Roman" w:hAnsi="Times New Roman" w:cs="Times New Roman"/>
          <w:i/>
          <w:sz w:val="18"/>
          <w:szCs w:val="18"/>
        </w:rPr>
        <w:t>World's Poultry Science Journal</w:t>
      </w:r>
      <w:r>
        <w:rPr>
          <w:rFonts w:ascii="Times New Roman" w:hAnsi="Times New Roman" w:cs="Times New Roman"/>
          <w:sz w:val="18"/>
          <w:szCs w:val="18"/>
        </w:rPr>
        <w:t>, 68(3), 447-454.</w:t>
      </w:r>
    </w:p>
    <w:p w14:paraId="6A2C5C8C">
      <w:pPr>
        <w:spacing w:after="0"/>
        <w:ind w:left="540" w:hanging="540"/>
        <w:jc w:val="both"/>
        <w:rPr>
          <w:rFonts w:ascii="Times New Roman" w:hAnsi="Times New Roman" w:cs="Times New Roman"/>
          <w:sz w:val="18"/>
          <w:szCs w:val="18"/>
        </w:rPr>
      </w:pPr>
      <w:r>
        <w:rPr>
          <w:rFonts w:ascii="Times New Roman" w:hAnsi="Times New Roman" w:cs="Times New Roman"/>
          <w:bCs/>
          <w:sz w:val="18"/>
          <w:szCs w:val="18"/>
        </w:rPr>
        <w:t xml:space="preserve">Okanlawon, E.O., Bello, K.O., Akinola, O.S.  &amp; Adeola. A.A. </w:t>
      </w:r>
      <w:r>
        <w:rPr>
          <w:rFonts w:ascii="Times New Roman" w:hAnsi="Times New Roman" w:cs="Times New Roman"/>
          <w:sz w:val="18"/>
          <w:szCs w:val="18"/>
        </w:rPr>
        <w:t xml:space="preserve"> </w:t>
      </w:r>
      <w:r>
        <w:rPr>
          <w:rFonts w:ascii="Times New Roman" w:hAnsi="Times New Roman" w:cs="Times New Roman"/>
          <w:bCs/>
          <w:sz w:val="18"/>
          <w:szCs w:val="18"/>
        </w:rPr>
        <w:t>(2024). Effect of dietary phytobiotics</w:t>
      </w:r>
      <w:r>
        <w:rPr>
          <w:rFonts w:ascii="Times New Roman" w:hAnsi="Times New Roman" w:cs="Times New Roman"/>
          <w:sz w:val="18"/>
          <w:szCs w:val="18"/>
        </w:rPr>
        <w:t xml:space="preserve"> </w:t>
      </w:r>
      <w:r>
        <w:rPr>
          <w:rFonts w:ascii="Times New Roman" w:hAnsi="Times New Roman" w:cs="Times New Roman"/>
          <w:bCs/>
          <w:sz w:val="18"/>
          <w:szCs w:val="18"/>
        </w:rPr>
        <w:t>blend (Turmeric, Garlic, Ginger, and Clove) on growth performance, carcass yield, haematology and serum biochemistry of rabbit</w:t>
      </w:r>
      <w:r>
        <w:rPr>
          <w:rFonts w:ascii="Times New Roman" w:hAnsi="Times New Roman" w:cs="Times New Roman"/>
          <w:sz w:val="18"/>
          <w:szCs w:val="18"/>
        </w:rPr>
        <w:t>s</w:t>
      </w:r>
      <w:r>
        <w:rPr>
          <w:rFonts w:ascii="Times New Roman" w:hAnsi="Times New Roman" w:cs="Times New Roman"/>
          <w:bCs/>
          <w:sz w:val="18"/>
          <w:szCs w:val="18"/>
        </w:rPr>
        <w:t xml:space="preserve">. </w:t>
      </w:r>
      <w:r>
        <w:rPr>
          <w:rFonts w:ascii="Times New Roman" w:hAnsi="Times New Roman" w:cs="Times New Roman"/>
          <w:i/>
          <w:iCs/>
          <w:sz w:val="18"/>
          <w:szCs w:val="18"/>
        </w:rPr>
        <w:t>Egyptian Journal of Rabbit Science, 34(1): 35-46.</w:t>
      </w:r>
      <w:r>
        <w:rPr>
          <w:rFonts w:ascii="Times New Roman" w:hAnsi="Times New Roman" w:cs="Times New Roman"/>
          <w:sz w:val="18"/>
          <w:szCs w:val="18"/>
        </w:rPr>
        <w:t xml:space="preserve"> (ISSN: 1110-259 (PRINT) 2682-3330 (ONLINE)</w:t>
      </w:r>
      <w:r>
        <w:rPr>
          <w:rFonts w:ascii="Times New Roman" w:hAnsi="Times New Roman" w:cs="Times New Roman"/>
          <w:i/>
          <w:iCs/>
          <w:sz w:val="18"/>
          <w:szCs w:val="18"/>
        </w:rPr>
        <w:t xml:space="preserve"> </w:t>
      </w:r>
      <w:r>
        <w:fldChar w:fldCharType="begin"/>
      </w:r>
      <w:r>
        <w:instrText xml:space="preserve"> HYPERLINK "https://ejrs.journals.ekb.eg" </w:instrText>
      </w:r>
      <w:r>
        <w:fldChar w:fldCharType="separate"/>
      </w:r>
      <w:r>
        <w:rPr>
          <w:rStyle w:val="12"/>
          <w:rFonts w:ascii="Times New Roman" w:hAnsi="Times New Roman" w:cs="Times New Roman"/>
          <w:i/>
          <w:iCs/>
          <w:sz w:val="18"/>
          <w:szCs w:val="18"/>
        </w:rPr>
        <w:t>https://ejrs.journals.ekb.eg</w:t>
      </w:r>
      <w:r>
        <w:rPr>
          <w:rStyle w:val="12"/>
          <w:rFonts w:ascii="Times New Roman" w:hAnsi="Times New Roman" w:cs="Times New Roman"/>
          <w:i/>
          <w:iCs/>
          <w:sz w:val="18"/>
          <w:szCs w:val="18"/>
        </w:rPr>
        <w:fldChar w:fldCharType="end"/>
      </w:r>
      <w:r>
        <w:rPr>
          <w:rFonts w:ascii="Times New Roman" w:hAnsi="Times New Roman" w:cs="Times New Roman"/>
          <w:i/>
          <w:iCs/>
          <w:sz w:val="18"/>
          <w:szCs w:val="18"/>
          <w:u w:val="single"/>
        </w:rPr>
        <w:t>.</w:t>
      </w:r>
    </w:p>
    <w:p w14:paraId="08AA28BC">
      <w:pPr>
        <w:spacing w:after="0"/>
        <w:ind w:left="540" w:hanging="540"/>
        <w:jc w:val="both"/>
        <w:rPr>
          <w:rFonts w:ascii="Times New Roman" w:hAnsi="Times New Roman" w:cs="Times New Roman"/>
          <w:i/>
          <w:iCs/>
          <w:sz w:val="18"/>
          <w:szCs w:val="18"/>
          <w:u w:val="single"/>
        </w:rPr>
      </w:pPr>
      <w:r>
        <w:rPr>
          <w:rFonts w:ascii="Times New Roman" w:hAnsi="Times New Roman" w:cs="Times New Roman"/>
          <w:bCs/>
          <w:sz w:val="18"/>
          <w:szCs w:val="18"/>
        </w:rPr>
        <w:t xml:space="preserve">Okanlawon, E. O., </w:t>
      </w:r>
      <w:r>
        <w:rPr>
          <w:rFonts w:ascii="Times New Roman" w:hAnsi="Times New Roman" w:cs="Times New Roman"/>
          <w:sz w:val="18"/>
          <w:szCs w:val="18"/>
        </w:rPr>
        <w:t xml:space="preserve">Olayeni, T. B., Haruna, M. A. &amp; Ayeni, E. O. (2025). Synergistic effects of black seed and fenugreek seed on growth performance and blood profile of broiler chickens. </w:t>
      </w:r>
      <w:r>
        <w:rPr>
          <w:rFonts w:ascii="Times New Roman" w:hAnsi="Times New Roman" w:cs="Times New Roman"/>
          <w:i/>
          <w:iCs/>
          <w:sz w:val="18"/>
          <w:szCs w:val="18"/>
        </w:rPr>
        <w:t xml:space="preserve">Trends in Agriculture Science. </w:t>
      </w:r>
      <w:r>
        <w:rPr>
          <w:rFonts w:ascii="Times New Roman" w:hAnsi="Times New Roman" w:cs="Times New Roman"/>
          <w:sz w:val="18"/>
          <w:szCs w:val="18"/>
        </w:rPr>
        <w:t xml:space="preserve">4 (4), 341-349. </w:t>
      </w:r>
      <w:r>
        <w:fldChar w:fldCharType="begin"/>
      </w:r>
      <w:r>
        <w:instrText xml:space="preserve"> HYPERLINK "https://doi.org/10.17311/tas.2025.341.349" </w:instrText>
      </w:r>
      <w:r>
        <w:fldChar w:fldCharType="separate"/>
      </w:r>
      <w:r>
        <w:rPr>
          <w:rStyle w:val="12"/>
          <w:rFonts w:ascii="Times New Roman" w:hAnsi="Times New Roman" w:cs="Times New Roman"/>
          <w:i/>
          <w:iCs/>
          <w:sz w:val="18"/>
          <w:szCs w:val="18"/>
        </w:rPr>
        <w:t>https://doi.org/10.17311/tas.2025.341.349</w:t>
      </w:r>
      <w:r>
        <w:rPr>
          <w:rStyle w:val="12"/>
          <w:rFonts w:ascii="Times New Roman" w:hAnsi="Times New Roman" w:cs="Times New Roman"/>
          <w:i/>
          <w:iCs/>
          <w:sz w:val="18"/>
          <w:szCs w:val="18"/>
        </w:rPr>
        <w:fldChar w:fldCharType="end"/>
      </w:r>
      <w:r>
        <w:rPr>
          <w:rFonts w:ascii="Times New Roman" w:hAnsi="Times New Roman" w:cs="Times New Roman"/>
          <w:i/>
          <w:iCs/>
          <w:sz w:val="18"/>
          <w:szCs w:val="18"/>
          <w:u w:val="single"/>
        </w:rPr>
        <w:t>.</w:t>
      </w:r>
    </w:p>
    <w:p w14:paraId="4D7AAFF9">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Olayeni, T, B., Adebisi, F. A., Okanlawon, E. O., Ayeni, E. O., Oladeji, Q. A., Oriloye, F. T. Ojelere, O. A. &amp; Kehinde, H. M. (205). Performance, nutrient digestibility, blood profile and carcass yield of broiler chicken fed diets with varying levels of fenugreek seed (</w:t>
      </w:r>
      <w:r>
        <w:rPr>
          <w:rFonts w:ascii="Times New Roman" w:hAnsi="Times New Roman" w:cs="Times New Roman"/>
          <w:i/>
          <w:iCs/>
          <w:sz w:val="18"/>
          <w:szCs w:val="18"/>
        </w:rPr>
        <w:t>Trigonella foenumgraecum</w:t>
      </w:r>
      <w:r>
        <w:rPr>
          <w:rFonts w:ascii="Times New Roman" w:hAnsi="Times New Roman" w:cs="Times New Roman"/>
          <w:sz w:val="18"/>
          <w:szCs w:val="18"/>
        </w:rPr>
        <w:t xml:space="preserve">). </w:t>
      </w:r>
      <w:r>
        <w:rPr>
          <w:rFonts w:ascii="Times New Roman" w:hAnsi="Times New Roman" w:cs="Times New Roman"/>
          <w:i/>
          <w:iCs/>
          <w:sz w:val="18"/>
          <w:szCs w:val="18"/>
        </w:rPr>
        <w:t xml:space="preserve">Nigerian Journal of Animal Production. </w:t>
      </w:r>
      <w:r>
        <w:rPr>
          <w:rFonts w:ascii="Times New Roman" w:hAnsi="Times New Roman" w:cs="Times New Roman"/>
          <w:color w:val="000000"/>
          <w:sz w:val="18"/>
          <w:szCs w:val="18"/>
        </w:rPr>
        <w:t xml:space="preserve">52(1), 43-61. </w:t>
      </w:r>
      <w:r>
        <w:fldChar w:fldCharType="begin"/>
      </w:r>
      <w:r>
        <w:instrText xml:space="preserve"> HYPERLINK "https://doi.org/10.51791/njap.v52i1.8317" </w:instrText>
      </w:r>
      <w:r>
        <w:fldChar w:fldCharType="separate"/>
      </w:r>
      <w:r>
        <w:rPr>
          <w:rStyle w:val="12"/>
          <w:rFonts w:ascii="Times New Roman" w:hAnsi="Times New Roman" w:cs="Times New Roman"/>
          <w:i/>
          <w:iCs/>
          <w:color w:val="000000"/>
          <w:sz w:val="18"/>
          <w:szCs w:val="18"/>
        </w:rPr>
        <w:t>https://doi.org/10.51791/njap.v52i1.8317</w:t>
      </w:r>
      <w:r>
        <w:rPr>
          <w:rStyle w:val="12"/>
          <w:rFonts w:ascii="Times New Roman" w:hAnsi="Times New Roman" w:cs="Times New Roman"/>
          <w:i/>
          <w:iCs/>
          <w:color w:val="000000"/>
          <w:sz w:val="18"/>
          <w:szCs w:val="18"/>
        </w:rPr>
        <w:fldChar w:fldCharType="end"/>
      </w:r>
    </w:p>
    <w:p w14:paraId="24C1FE39">
      <w:pPr>
        <w:spacing w:after="0" w:line="240" w:lineRule="auto"/>
        <w:ind w:left="547" w:hanging="547"/>
        <w:jc w:val="both"/>
        <w:rPr>
          <w:rFonts w:ascii="Times New Roman" w:hAnsi="Times New Roman" w:cs="Times New Roman"/>
          <w:sz w:val="18"/>
          <w:szCs w:val="18"/>
        </w:rPr>
      </w:pPr>
      <w:r>
        <w:rPr>
          <w:rFonts w:ascii="Times New Roman" w:hAnsi="Times New Roman" w:cs="Times New Roman"/>
          <w:sz w:val="18"/>
          <w:szCs w:val="18"/>
        </w:rPr>
        <w:t>Olusola, S. E. &amp; Nwokike, C. C. (2018). Effects of dietary leaves extract of bitter leaves (</w:t>
      </w:r>
      <w:r>
        <w:rPr>
          <w:rFonts w:ascii="Times New Roman" w:hAnsi="Times New Roman" w:cs="Times New Roman"/>
          <w:i/>
          <w:sz w:val="18"/>
          <w:szCs w:val="18"/>
        </w:rPr>
        <w:t>Vernoniaa mygdalina</w:t>
      </w:r>
      <w:r>
        <w:rPr>
          <w:rFonts w:ascii="Times New Roman" w:hAnsi="Times New Roman" w:cs="Times New Roman"/>
          <w:sz w:val="18"/>
          <w:szCs w:val="18"/>
        </w:rPr>
        <w:t>) and pawpaw (</w:t>
      </w:r>
      <w:r>
        <w:rPr>
          <w:rFonts w:ascii="Times New Roman" w:hAnsi="Times New Roman" w:cs="Times New Roman"/>
          <w:i/>
          <w:sz w:val="18"/>
          <w:szCs w:val="18"/>
        </w:rPr>
        <w:t>Carica papaya</w:t>
      </w:r>
      <w:r>
        <w:rPr>
          <w:rFonts w:ascii="Times New Roman" w:hAnsi="Times New Roman" w:cs="Times New Roman"/>
          <w:sz w:val="18"/>
          <w:szCs w:val="18"/>
        </w:rPr>
        <w:t xml:space="preserve">) on the growth, feed conversion efficiency and disease resistance on juveniles </w:t>
      </w:r>
      <w:r>
        <w:rPr>
          <w:rFonts w:ascii="Times New Roman" w:hAnsi="Times New Roman" w:cs="Times New Roman"/>
          <w:i/>
          <w:sz w:val="18"/>
          <w:szCs w:val="18"/>
        </w:rPr>
        <w:t>Clarias gariepinus</w:t>
      </w:r>
      <w:r>
        <w:rPr>
          <w:rFonts w:ascii="Times New Roman" w:hAnsi="Times New Roman" w:cs="Times New Roman"/>
          <w:sz w:val="18"/>
          <w:szCs w:val="18"/>
        </w:rPr>
        <w:t xml:space="preserve">. </w:t>
      </w:r>
      <w:r>
        <w:rPr>
          <w:rFonts w:ascii="Times New Roman" w:hAnsi="Times New Roman" w:cs="Times New Roman"/>
          <w:i/>
          <w:sz w:val="18"/>
          <w:szCs w:val="18"/>
        </w:rPr>
        <w:t>Aquaculture Research</w:t>
      </w:r>
      <w:r>
        <w:rPr>
          <w:rFonts w:ascii="Times New Roman" w:hAnsi="Times New Roman" w:cs="Times New Roman"/>
          <w:sz w:val="18"/>
          <w:szCs w:val="18"/>
        </w:rPr>
        <w:t>, 49 (5): 1858 – 1865.</w:t>
      </w:r>
    </w:p>
    <w:p w14:paraId="4FAEF465">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Peter, T., Biamonte, G.T. &amp; Doumas, B.T. (1982). Protein (Total protein) in serum, urine and cerebrospinal fluids; Albumin in serum. In: Selected method of clinical chemistry. Volume 9 (Paulkner WR, Meites S Eds) American Association for Clinical Chemistry, Washington, D.C.</w:t>
      </w:r>
    </w:p>
    <w:p w14:paraId="5952B317">
      <w:pPr>
        <w:spacing w:after="0"/>
        <w:ind w:left="540" w:hanging="540"/>
        <w:jc w:val="both"/>
        <w:rPr>
          <w:rFonts w:ascii="Times New Roman" w:hAnsi="Times New Roman" w:cs="Times New Roman"/>
          <w:sz w:val="18"/>
          <w:szCs w:val="18"/>
        </w:rPr>
      </w:pPr>
      <w:r>
        <w:rPr>
          <w:rFonts w:ascii="Times New Roman" w:hAnsi="Times New Roman" w:eastAsia="Times New Roman" w:cs="Times New Roman"/>
          <w:sz w:val="18"/>
          <w:szCs w:val="18"/>
        </w:rPr>
        <w:t xml:space="preserve">Pirgozliev, V. &amp; Mansbridge, S. C. (2018). Immune modulation, growth performance, and nutrient retention in broiler chickens fed a blend of phytogenic feed additives. </w:t>
      </w:r>
      <w:r>
        <w:rPr>
          <w:rFonts w:ascii="Times New Roman" w:hAnsi="Times New Roman" w:eastAsia="Times New Roman" w:cs="Times New Roman"/>
          <w:i/>
          <w:iCs/>
          <w:sz w:val="18"/>
          <w:szCs w:val="18"/>
        </w:rPr>
        <w:t xml:space="preserve">Poultry Science, </w:t>
      </w:r>
      <w:r>
        <w:rPr>
          <w:rFonts w:ascii="Times New Roman" w:hAnsi="Times New Roman" w:eastAsia="Times New Roman" w:cs="Times New Roman"/>
          <w:iCs/>
          <w:sz w:val="18"/>
          <w:szCs w:val="18"/>
        </w:rPr>
        <w:t>98</w:t>
      </w:r>
      <w:r>
        <w:rPr>
          <w:rFonts w:ascii="Times New Roman" w:hAnsi="Times New Roman" w:eastAsia="Times New Roman" w:cs="Times New Roman"/>
          <w:sz w:val="18"/>
          <w:szCs w:val="18"/>
        </w:rPr>
        <w:t>(9), 3443–3449.</w:t>
      </w:r>
    </w:p>
    <w:p w14:paraId="5FB3EBAE">
      <w:pPr>
        <w:spacing w:after="0"/>
        <w:ind w:left="540" w:hanging="540"/>
        <w:jc w:val="both"/>
        <w:rPr>
          <w:rFonts w:ascii="Times New Roman" w:hAnsi="Times New Roman" w:cs="Times New Roman"/>
          <w:i/>
          <w:iCs/>
          <w:sz w:val="18"/>
          <w:szCs w:val="18"/>
          <w:u w:val="single"/>
        </w:rPr>
      </w:pPr>
      <w:r>
        <w:rPr>
          <w:rFonts w:ascii="Times New Roman" w:hAnsi="Times New Roman" w:cs="Times New Roman"/>
          <w:sz w:val="18"/>
          <w:szCs w:val="18"/>
        </w:rPr>
        <w:t>Rafiu, T. A., Olayeni, T. B., Okanlawon, E. O., Hammed, O. O. Sangoniyi, O. &amp; Ameen, F. B. (2005). Growth performance, carcass yield and blood profile of broiler chickens fed diets containing varying levels of thorn apple (</w:t>
      </w:r>
      <w:r>
        <w:rPr>
          <w:rFonts w:ascii="Times New Roman" w:hAnsi="Times New Roman" w:cs="Times New Roman"/>
          <w:i/>
          <w:iCs/>
          <w:sz w:val="18"/>
          <w:szCs w:val="18"/>
        </w:rPr>
        <w:t>Datura stramonium</w:t>
      </w:r>
      <w:r>
        <w:rPr>
          <w:rFonts w:ascii="Times New Roman" w:hAnsi="Times New Roman" w:cs="Times New Roman"/>
          <w:sz w:val="18"/>
          <w:szCs w:val="18"/>
        </w:rPr>
        <w:t xml:space="preserve">) powder. </w:t>
      </w:r>
      <w:r>
        <w:rPr>
          <w:rFonts w:ascii="Times New Roman" w:hAnsi="Times New Roman" w:cs="Times New Roman"/>
          <w:i/>
          <w:iCs/>
          <w:sz w:val="18"/>
          <w:szCs w:val="18"/>
        </w:rPr>
        <w:t>Brazilian Journal of Science</w:t>
      </w:r>
      <w:r>
        <w:rPr>
          <w:rFonts w:ascii="Times New Roman" w:hAnsi="Times New Roman" w:cs="Times New Roman"/>
          <w:sz w:val="18"/>
          <w:szCs w:val="18"/>
        </w:rPr>
        <w:t xml:space="preserve">, 4(3), 49-58. ISSN: 2764-3417. </w:t>
      </w:r>
      <w:r>
        <w:fldChar w:fldCharType="begin"/>
      </w:r>
      <w:r>
        <w:instrText xml:space="preserve"> HYPERLINK "https://doi.org/10.14295/bjs.v4i3.702" </w:instrText>
      </w:r>
      <w:r>
        <w:fldChar w:fldCharType="separate"/>
      </w:r>
      <w:r>
        <w:rPr>
          <w:rStyle w:val="12"/>
          <w:rFonts w:ascii="Times New Roman" w:hAnsi="Times New Roman" w:cs="Times New Roman"/>
          <w:i/>
          <w:iCs/>
          <w:sz w:val="18"/>
          <w:szCs w:val="18"/>
        </w:rPr>
        <w:t>https://doi.org/10.14295/bjs.v4i3.702</w:t>
      </w:r>
      <w:r>
        <w:rPr>
          <w:rStyle w:val="12"/>
          <w:rFonts w:ascii="Times New Roman" w:hAnsi="Times New Roman" w:cs="Times New Roman"/>
          <w:i/>
          <w:iCs/>
          <w:sz w:val="18"/>
          <w:szCs w:val="18"/>
        </w:rPr>
        <w:fldChar w:fldCharType="end"/>
      </w:r>
      <w:r>
        <w:rPr>
          <w:rFonts w:ascii="Times New Roman" w:hAnsi="Times New Roman" w:cs="Times New Roman"/>
          <w:i/>
          <w:iCs/>
          <w:sz w:val="18"/>
          <w:szCs w:val="18"/>
          <w:u w:val="single"/>
        </w:rPr>
        <w:t xml:space="preserve">. </w:t>
      </w:r>
    </w:p>
    <w:p w14:paraId="19EC43D7">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Rafiu, T. A., Okanlawon, E. O. &amp; Olayeni, T. B. (2025). Performance, carcass and organ characteristics of broiler chicken fed varying levels of thorn apple (</w:t>
      </w:r>
      <w:r>
        <w:rPr>
          <w:rFonts w:ascii="Times New Roman" w:hAnsi="Times New Roman" w:cs="Times New Roman"/>
          <w:i/>
          <w:iCs/>
          <w:sz w:val="18"/>
          <w:szCs w:val="18"/>
        </w:rPr>
        <w:t>Datura stramonium</w:t>
      </w:r>
      <w:r>
        <w:rPr>
          <w:rFonts w:ascii="Times New Roman" w:hAnsi="Times New Roman" w:cs="Times New Roman"/>
          <w:sz w:val="18"/>
          <w:szCs w:val="18"/>
        </w:rPr>
        <w:t>) powder.</w:t>
      </w:r>
      <w:r>
        <w:rPr>
          <w:rFonts w:ascii="Times New Roman" w:hAnsi="Times New Roman" w:cs="Times New Roman"/>
          <w:i/>
          <w:iCs/>
          <w:sz w:val="18"/>
          <w:szCs w:val="18"/>
        </w:rPr>
        <w:t xml:space="preserve"> Nigerian Journal of Animal Production,</w:t>
      </w:r>
      <w:r>
        <w:rPr>
          <w:rFonts w:ascii="Times New Roman" w:hAnsi="Times New Roman" w:cs="Times New Roman"/>
          <w:sz w:val="18"/>
          <w:szCs w:val="18"/>
        </w:rPr>
        <w:t xml:space="preserve"> 614-617.</w:t>
      </w:r>
    </w:p>
    <w:p w14:paraId="43EB3123">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 xml:space="preserve">Rej, R. &amp; Hoder, M. (1983). Aspartate transaminase. In: Methods of Enzymatic Analysis. 3rd ed. (H.U. Bergmeyer, J. Bergmeyer and M. Grassl, Eds). </w:t>
      </w:r>
      <w:r>
        <w:rPr>
          <w:rFonts w:ascii="Times New Roman" w:hAnsi="Times New Roman" w:cs="Times New Roman"/>
          <w:i/>
          <w:iCs/>
          <w:sz w:val="18"/>
          <w:szCs w:val="18"/>
        </w:rPr>
        <w:t>Weinhein Verlag-Chemie</w:t>
      </w:r>
      <w:r>
        <w:rPr>
          <w:rFonts w:ascii="Times New Roman" w:hAnsi="Times New Roman" w:cs="Times New Roman"/>
          <w:sz w:val="18"/>
          <w:szCs w:val="18"/>
        </w:rPr>
        <w:t>, 3: 416-433.</w:t>
      </w:r>
    </w:p>
    <w:p w14:paraId="2C35DE60">
      <w:pPr>
        <w:spacing w:after="0"/>
        <w:ind w:left="540" w:hanging="540"/>
        <w:jc w:val="both"/>
        <w:rPr>
          <w:rFonts w:ascii="Times New Roman" w:hAnsi="Times New Roman" w:cs="Times New Roman"/>
          <w:sz w:val="18"/>
          <w:szCs w:val="18"/>
        </w:rPr>
      </w:pPr>
      <w:r>
        <w:rPr>
          <w:rFonts w:ascii="Times New Roman" w:hAnsi="Times New Roman" w:cs="Times New Roman"/>
          <w:sz w:val="18"/>
          <w:szCs w:val="18"/>
        </w:rPr>
        <w:t xml:space="preserve">Sacchetti, G., Maietti, S., Muzzoli, M., Scaglianti, M., Manfredini, S., Radice M. &amp; Bruni, R. (2005).  Comparative evaluation of 11 essential oils of different origin as functional antioxidants, antiradicals and antimicrobials in foods. </w:t>
      </w:r>
      <w:r>
        <w:rPr>
          <w:rFonts w:ascii="Times New Roman" w:hAnsi="Times New Roman" w:cs="Times New Roman"/>
          <w:i/>
          <w:sz w:val="18"/>
          <w:szCs w:val="18"/>
        </w:rPr>
        <w:t>Food Chemistry</w:t>
      </w:r>
      <w:r>
        <w:rPr>
          <w:rFonts w:ascii="Times New Roman" w:hAnsi="Times New Roman" w:cs="Times New Roman"/>
          <w:sz w:val="18"/>
          <w:szCs w:val="18"/>
        </w:rPr>
        <w:t xml:space="preserve">, 91(4), 621-632. </w:t>
      </w:r>
      <w:r>
        <w:fldChar w:fldCharType="begin"/>
      </w:r>
      <w:r>
        <w:instrText xml:space="preserve"> HYPERLINK "https://doi.org/10.1016/j.foodchem.2004.06.031" </w:instrText>
      </w:r>
      <w:r>
        <w:fldChar w:fldCharType="separate"/>
      </w:r>
      <w:r>
        <w:rPr>
          <w:rStyle w:val="12"/>
          <w:rFonts w:ascii="Times New Roman" w:hAnsi="Times New Roman" w:cs="Times New Roman"/>
          <w:sz w:val="18"/>
          <w:szCs w:val="18"/>
        </w:rPr>
        <w:t>https://doi.org/10.1016/j.foodchem.2004.06.031</w:t>
      </w:r>
      <w:r>
        <w:rPr>
          <w:rStyle w:val="12"/>
          <w:rFonts w:ascii="Times New Roman" w:hAnsi="Times New Roman" w:cs="Times New Roman"/>
          <w:sz w:val="18"/>
          <w:szCs w:val="18"/>
        </w:rPr>
        <w:fldChar w:fldCharType="end"/>
      </w:r>
    </w:p>
    <w:p w14:paraId="5E70F340">
      <w:pPr>
        <w:spacing w:after="0"/>
        <w:ind w:left="540" w:hanging="540"/>
        <w:jc w:val="both"/>
        <w:rPr>
          <w:rFonts w:ascii="Times New Roman" w:hAnsi="Times New Roman" w:cs="Times New Roman"/>
          <w:sz w:val="18"/>
          <w:szCs w:val="18"/>
        </w:rPr>
      </w:pPr>
      <w:r>
        <w:rPr>
          <w:rFonts w:ascii="Times New Roman" w:hAnsi="Times New Roman" w:cs="Times New Roman"/>
          <w:sz w:val="18"/>
          <w:szCs w:val="18"/>
          <w:lang w:val="en-US"/>
        </w:rPr>
        <w:t>SAS/STAT. (2000). Software: Changes and Enhancements through Release 8.1, SAS Institute Inc., Cary, NC.</w:t>
      </w:r>
    </w:p>
    <w:p w14:paraId="58BBEB41">
      <w:pPr>
        <w:spacing w:after="0"/>
        <w:ind w:left="540" w:hanging="540"/>
        <w:jc w:val="both"/>
        <w:rPr>
          <w:rFonts w:ascii="Times New Roman" w:hAnsi="Times New Roman" w:cs="Times New Roman"/>
          <w:sz w:val="18"/>
          <w:szCs w:val="18"/>
        </w:rPr>
      </w:pPr>
      <w:r>
        <w:rPr>
          <w:rFonts w:ascii="Times New Roman" w:hAnsi="Times New Roman" w:eastAsia="Times New Roman" w:cs="Times New Roman"/>
          <w:sz w:val="18"/>
          <w:szCs w:val="18"/>
        </w:rPr>
        <w:t xml:space="preserve">Ukorebi, B. A. &amp;Akpet, S. O. (2020). Response of broiler chickens to dietary phytogenic leaf meal supplementation. </w:t>
      </w:r>
      <w:r>
        <w:rPr>
          <w:rFonts w:ascii="Times New Roman" w:hAnsi="Times New Roman" w:eastAsia="Times New Roman" w:cs="Times New Roman"/>
          <w:i/>
          <w:iCs/>
          <w:sz w:val="18"/>
          <w:szCs w:val="18"/>
        </w:rPr>
        <w:t>African Journal of Poultry Farming, 8</w:t>
      </w:r>
      <w:r>
        <w:rPr>
          <w:rFonts w:ascii="Times New Roman" w:hAnsi="Times New Roman" w:eastAsia="Times New Roman" w:cs="Times New Roman"/>
          <w:sz w:val="18"/>
          <w:szCs w:val="18"/>
        </w:rPr>
        <w:t xml:space="preserve">(3), 44–52. </w:t>
      </w:r>
    </w:p>
    <w:p w14:paraId="24A0B93F">
      <w:pPr>
        <w:spacing w:after="0"/>
        <w:ind w:left="540" w:hanging="540"/>
        <w:jc w:val="both"/>
        <w:rPr>
          <w:rFonts w:ascii="Times New Roman" w:hAnsi="Times New Roman" w:eastAsia="Calibri" w:cs="Times New Roman"/>
          <w:b/>
          <w:bCs/>
          <w:iCs/>
          <w:color w:val="000000" w:themeColor="text1"/>
          <w:sz w:val="18"/>
          <w:szCs w:val="18"/>
          <w:lang w:val="en-US"/>
        </w:rPr>
      </w:pPr>
      <w:r>
        <w:rPr>
          <w:rFonts w:ascii="Times New Roman" w:hAnsi="Times New Roman" w:cs="Times New Roman"/>
          <w:sz w:val="18"/>
          <w:szCs w:val="18"/>
        </w:rPr>
        <w:t xml:space="preserve">Venkatesan, R., Nagarajan, P. Rajaretnam, R.S. &amp;Majumdar, S.S. (2006). “Hematologic and serum biochemical values in aged female onnet macaques Macacaradiata anesthetized with etamine hydrochloride”, </w:t>
      </w:r>
      <w:r>
        <w:rPr>
          <w:rFonts w:ascii="Times New Roman" w:hAnsi="Times New Roman" w:cs="Times New Roman"/>
          <w:i/>
          <w:iCs/>
          <w:sz w:val="18"/>
          <w:szCs w:val="18"/>
        </w:rPr>
        <w:t xml:space="preserve">Journal of American Association of Laboratory Animals, </w:t>
      </w:r>
      <w:r>
        <w:rPr>
          <w:rFonts w:ascii="Times New Roman" w:hAnsi="Times New Roman" w:cs="Times New Roman"/>
          <w:iCs/>
          <w:sz w:val="18"/>
          <w:szCs w:val="18"/>
        </w:rPr>
        <w:t>45(2), 45-48.</w:t>
      </w:r>
    </w:p>
    <w:sectPr>
      <w:headerReference r:id="rId9" w:type="first"/>
      <w:headerReference r:id="rId7" w:type="default"/>
      <w:footerReference r:id="rId10" w:type="default"/>
      <w:headerReference r:id="rId8" w:type="even"/>
      <w:type w:val="continuous"/>
      <w:pgSz w:w="11907" w:h="16839"/>
      <w:pgMar w:top="1382" w:right="893" w:bottom="1382" w:left="893" w:header="720" w:footer="720" w:gutter="0"/>
      <w:cols w:space="288"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715336"/>
      <w:docPartObj>
        <w:docPartGallery w:val="AutoText"/>
      </w:docPartObj>
    </w:sdtPr>
    <w:sdtContent>
      <w:p w14:paraId="6BF6CC7A">
        <w:pPr>
          <w:pStyle w:val="10"/>
          <w:pBdr>
            <w:top w:val="single" w:color="auto" w:sz="4" w:space="1"/>
          </w:pBdr>
          <w:jc w:val="right"/>
        </w:pPr>
        <w:r>
          <w:fldChar w:fldCharType="begin"/>
        </w:r>
        <w:r>
          <w:instrText xml:space="preserve"> PAGE   \* MERGEFORMAT </w:instrText>
        </w:r>
        <w:r>
          <w:fldChar w:fldCharType="separate"/>
        </w:r>
        <w:r>
          <w:t>224</w:t>
        </w:r>
        <w:r>
          <w:fldChar w:fldCharType="end"/>
        </w:r>
      </w:p>
    </w:sdtContent>
  </w:sdt>
  <w:p w14:paraId="34F43120">
    <w:pPr>
      <w:rPr>
        <w:rFonts w:ascii="Times New Roman" w:hAnsi="Times New Roman"/>
        <w:b/>
      </w:rPr>
    </w:pPr>
    <w:bookmarkStart w:id="0" w:name="_GoBack"/>
    <w:r>
      <w:rPr>
        <w:rFonts w:ascii="Times New Roman" w:hAnsi="Times New Roman"/>
        <w:b/>
      </w:rPr>
      <w:t>http://doi.org/10.54328/covm.josvas.2026.371</w:t>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A9EDB">
    <w:pPr>
      <w:pStyle w:val="10"/>
      <w:pBdr>
        <w:top w:val="single" w:color="auto" w:sz="4" w:space="1"/>
      </w:pBdr>
      <w:jc w:val="right"/>
    </w:pPr>
    <w:r>
      <w:fldChar w:fldCharType="begin"/>
    </w:r>
    <w:r>
      <w:instrText xml:space="preserve"> PAGE   \* MERGEFORMAT </w:instrText>
    </w:r>
    <w:r>
      <w:fldChar w:fldCharType="separate"/>
    </w:r>
    <w:r>
      <w:t>233</w:t>
    </w:r>
    <w:r>
      <w:fldChar w:fldCharType="end"/>
    </w:r>
  </w:p>
  <w:p w14:paraId="47161E0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6A91B">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64C69">
    <w:pPr>
      <w:pStyle w:val="11"/>
      <w:pBdr>
        <w:bottom w:val="single" w:color="auto" w:sz="4" w:space="1"/>
      </w:pBdr>
      <w:jc w:val="both"/>
      <w:rPr>
        <w:rFonts w:ascii="Times New Roman" w:hAnsi="Times New Roman"/>
        <w:b/>
        <w:sz w:val="20"/>
        <w:szCs w:val="20"/>
      </w:rPr>
    </w:pPr>
    <w:r>
      <w:rPr>
        <w:rFonts w:ascii="Times New Roman" w:hAnsi="Times New Roman" w:eastAsia="Times New Roman"/>
        <w:b/>
        <w:bCs/>
        <w:sz w:val="20"/>
        <w:szCs w:val="20"/>
      </w:rPr>
      <w:t xml:space="preserve">Rafiu </w:t>
    </w:r>
    <w:r>
      <w:rPr>
        <w:rFonts w:ascii="Times New Roman" w:hAnsi="Times New Roman" w:eastAsia="Times New Roman"/>
        <w:b/>
        <w:bCs/>
        <w:i/>
        <w:sz w:val="20"/>
        <w:szCs w:val="20"/>
        <w:lang w:val="en-GB"/>
      </w:rPr>
      <w:t>et al.</w:t>
    </w:r>
    <w:r>
      <w:rPr>
        <w:rFonts w:ascii="Times New Roman" w:hAnsi="Times New Roman"/>
        <w:b/>
        <w:sz w:val="20"/>
        <w:szCs w:val="20"/>
      </w:rPr>
      <w:t xml:space="preserve">  2026   </w:t>
    </w:r>
    <w:r>
      <w:rPr>
        <w:rFonts w:ascii="Times New Roman" w:hAnsi="Times New Roman"/>
        <w:b/>
        <w:sz w:val="20"/>
        <w:szCs w:val="20"/>
      </w:rPr>
      <w:tab/>
    </w:r>
    <w:r>
      <w:rPr>
        <w:rFonts w:ascii="Times New Roman" w:hAnsi="Times New Roman"/>
        <w:b/>
        <w:sz w:val="20"/>
        <w:szCs w:val="20"/>
      </w:rPr>
      <w:t xml:space="preserve">                                                          Journal of Sustainable Veterinary &amp; Allied Sciences Vol. 8 Issue 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8A541">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EC37F">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F0476A"/>
    <w:rsid w:val="00035D8B"/>
    <w:rsid w:val="00075101"/>
    <w:rsid w:val="000A726C"/>
    <w:rsid w:val="00112E30"/>
    <w:rsid w:val="00131665"/>
    <w:rsid w:val="00163280"/>
    <w:rsid w:val="001659FC"/>
    <w:rsid w:val="00195081"/>
    <w:rsid w:val="001B590C"/>
    <w:rsid w:val="001C05A6"/>
    <w:rsid w:val="002249EA"/>
    <w:rsid w:val="0025311C"/>
    <w:rsid w:val="002C4B50"/>
    <w:rsid w:val="002C5D74"/>
    <w:rsid w:val="002E2FE4"/>
    <w:rsid w:val="00353F96"/>
    <w:rsid w:val="00394AEB"/>
    <w:rsid w:val="003D35EA"/>
    <w:rsid w:val="003D5ECD"/>
    <w:rsid w:val="003E51D3"/>
    <w:rsid w:val="003F07EB"/>
    <w:rsid w:val="00455A61"/>
    <w:rsid w:val="004B3CA2"/>
    <w:rsid w:val="00501981"/>
    <w:rsid w:val="00526B77"/>
    <w:rsid w:val="0056394E"/>
    <w:rsid w:val="00567311"/>
    <w:rsid w:val="005D4B78"/>
    <w:rsid w:val="00646434"/>
    <w:rsid w:val="00664C8B"/>
    <w:rsid w:val="00680907"/>
    <w:rsid w:val="007136F8"/>
    <w:rsid w:val="0077688B"/>
    <w:rsid w:val="00786199"/>
    <w:rsid w:val="00796BE3"/>
    <w:rsid w:val="0080268A"/>
    <w:rsid w:val="008071FB"/>
    <w:rsid w:val="0081263D"/>
    <w:rsid w:val="00814601"/>
    <w:rsid w:val="0083346B"/>
    <w:rsid w:val="00902FC9"/>
    <w:rsid w:val="00914D62"/>
    <w:rsid w:val="00951E04"/>
    <w:rsid w:val="00997BBE"/>
    <w:rsid w:val="009D08F6"/>
    <w:rsid w:val="009E3778"/>
    <w:rsid w:val="009E4906"/>
    <w:rsid w:val="00A16529"/>
    <w:rsid w:val="00A40794"/>
    <w:rsid w:val="00A85774"/>
    <w:rsid w:val="00AD2E42"/>
    <w:rsid w:val="00AE7355"/>
    <w:rsid w:val="00B02E58"/>
    <w:rsid w:val="00B20145"/>
    <w:rsid w:val="00B55D85"/>
    <w:rsid w:val="00B754BC"/>
    <w:rsid w:val="00B8796F"/>
    <w:rsid w:val="00B97F4B"/>
    <w:rsid w:val="00BB615A"/>
    <w:rsid w:val="00BD5825"/>
    <w:rsid w:val="00C05493"/>
    <w:rsid w:val="00C47AD7"/>
    <w:rsid w:val="00C56183"/>
    <w:rsid w:val="00C57223"/>
    <w:rsid w:val="00C92298"/>
    <w:rsid w:val="00CB1544"/>
    <w:rsid w:val="00CB472B"/>
    <w:rsid w:val="00CC4188"/>
    <w:rsid w:val="00D42FC8"/>
    <w:rsid w:val="00D83EB4"/>
    <w:rsid w:val="00D87835"/>
    <w:rsid w:val="00DA788A"/>
    <w:rsid w:val="00DB0B21"/>
    <w:rsid w:val="00DB3D46"/>
    <w:rsid w:val="00DD04E4"/>
    <w:rsid w:val="00DF08B8"/>
    <w:rsid w:val="00E00D68"/>
    <w:rsid w:val="00E15DA4"/>
    <w:rsid w:val="00E6582D"/>
    <w:rsid w:val="00E82EEA"/>
    <w:rsid w:val="00EE05D0"/>
    <w:rsid w:val="00F0476A"/>
    <w:rsid w:val="00F2791D"/>
    <w:rsid w:val="00F469C2"/>
    <w:rsid w:val="00F5777D"/>
    <w:rsid w:val="00F67281"/>
    <w:rsid w:val="00F70437"/>
    <w:rsid w:val="00FA3E5A"/>
    <w:rsid w:val="00FA6257"/>
    <w:rsid w:val="00FC469C"/>
    <w:rsid w:val="00FD0595"/>
    <w:rsid w:val="770257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iPriority="99"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paragraph" w:styleId="2">
    <w:name w:val="heading 3"/>
    <w:basedOn w:val="1"/>
    <w:link w:val="1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0"/>
    <w:semiHidden/>
    <w:unhideWhenUsed/>
    <w:qFormat/>
    <w:uiPriority w:val="99"/>
    <w:pPr>
      <w:spacing w:after="0" w:line="240" w:lineRule="auto"/>
    </w:pPr>
    <w:rPr>
      <w:rFonts w:ascii="Tahoma" w:hAnsi="Tahoma" w:cs="Tahoma"/>
      <w:sz w:val="16"/>
      <w:szCs w:val="16"/>
    </w:rPr>
  </w:style>
  <w:style w:type="paragraph" w:styleId="6">
    <w:name w:val="Body Text"/>
    <w:basedOn w:val="1"/>
    <w:link w:val="25"/>
    <w:qFormat/>
    <w:uiPriority w:val="0"/>
    <w:pPr>
      <w:spacing w:after="0" w:line="240" w:lineRule="auto"/>
      <w:jc w:val="center"/>
    </w:pPr>
    <w:rPr>
      <w:rFonts w:ascii="Times New Roman" w:hAnsi="Times New Roman" w:eastAsia="Times New Roman" w:cs="Times New Roman"/>
      <w:b/>
      <w:bCs/>
      <w:sz w:val="24"/>
      <w:szCs w:val="24"/>
    </w:rPr>
  </w:style>
  <w:style w:type="paragraph" w:styleId="7">
    <w:name w:val="annotation text"/>
    <w:basedOn w:val="1"/>
    <w:link w:val="29"/>
    <w:semiHidden/>
    <w:unhideWhenUsed/>
    <w:uiPriority w:val="99"/>
    <w:pPr>
      <w:spacing w:line="240" w:lineRule="auto"/>
    </w:pPr>
    <w:rPr>
      <w:rFonts w:ascii="Calibri" w:hAnsi="Calibri" w:eastAsia="Calibri" w:cs="Times New Roman"/>
      <w:sz w:val="20"/>
      <w:szCs w:val="20"/>
      <w:lang w:eastAsia="en-GB"/>
    </w:rPr>
  </w:style>
  <w:style w:type="paragraph" w:styleId="8">
    <w:name w:val="annotation subject"/>
    <w:basedOn w:val="7"/>
    <w:next w:val="7"/>
    <w:link w:val="30"/>
    <w:semiHidden/>
    <w:unhideWhenUsed/>
    <w:uiPriority w:val="99"/>
    <w:rPr>
      <w:b/>
      <w:bCs/>
    </w:rPr>
  </w:style>
  <w:style w:type="character" w:styleId="9">
    <w:name w:val="Emphasis"/>
    <w:qFormat/>
    <w:uiPriority w:val="20"/>
    <w:rPr>
      <w:i/>
      <w:iCs/>
    </w:rPr>
  </w:style>
  <w:style w:type="paragraph" w:styleId="10">
    <w:name w:val="footer"/>
    <w:basedOn w:val="1"/>
    <w:link w:val="19"/>
    <w:unhideWhenUsed/>
    <w:qFormat/>
    <w:uiPriority w:val="99"/>
    <w:pPr>
      <w:tabs>
        <w:tab w:val="center" w:pos="4680"/>
        <w:tab w:val="right" w:pos="9360"/>
      </w:tabs>
      <w:spacing w:after="0" w:line="240" w:lineRule="auto"/>
    </w:pPr>
    <w:rPr>
      <w:rFonts w:ascii="Calibri" w:hAnsi="Calibri" w:eastAsia="Calibri" w:cs="Times New Roman"/>
      <w:lang w:val="en-US"/>
    </w:rPr>
  </w:style>
  <w:style w:type="paragraph" w:styleId="11">
    <w:name w:val="header"/>
    <w:basedOn w:val="1"/>
    <w:link w:val="18"/>
    <w:unhideWhenUsed/>
    <w:uiPriority w:val="99"/>
    <w:pPr>
      <w:tabs>
        <w:tab w:val="center" w:pos="4680"/>
        <w:tab w:val="right" w:pos="9360"/>
      </w:tabs>
      <w:spacing w:after="0" w:line="240" w:lineRule="auto"/>
    </w:pPr>
    <w:rPr>
      <w:rFonts w:ascii="Calibri" w:hAnsi="Calibri" w:eastAsia="Calibri" w:cs="Times New Roman"/>
      <w:lang w:val="en-US"/>
    </w:rPr>
  </w:style>
  <w:style w:type="character" w:styleId="12">
    <w:name w:val="Hyperlink"/>
    <w:basedOn w:val="3"/>
    <w:unhideWhenUsed/>
    <w:qFormat/>
    <w:uiPriority w:val="0"/>
    <w:rPr>
      <w:color w:val="0000FF" w:themeColor="hyperlink"/>
      <w:u w:val="single"/>
    </w:rPr>
  </w:style>
  <w:style w:type="paragraph" w:styleId="13">
    <w:name w:val="index 6"/>
    <w:basedOn w:val="1"/>
    <w:next w:val="1"/>
    <w:autoRedefine/>
    <w:unhideWhenUsed/>
    <w:qFormat/>
    <w:uiPriority w:val="99"/>
    <w:pPr>
      <w:spacing w:after="0" w:line="240" w:lineRule="auto"/>
      <w:jc w:val="both"/>
    </w:pPr>
    <w:rPr>
      <w:rFonts w:ascii="Times New Roman" w:hAnsi="Times New Roman" w:eastAsia="Calibri" w:cs="Times New Roman"/>
      <w:bCs/>
      <w:lang w:val="en-US" w:eastAsia="en-GB"/>
    </w:rPr>
  </w:style>
  <w:style w:type="paragraph" w:styleId="14">
    <w:name w:val="Normal (Web)"/>
    <w:basedOn w:val="1"/>
    <w:unhideWhenUsed/>
    <w:qFormat/>
    <w:uiPriority w:val="99"/>
    <w:pPr>
      <w:spacing w:before="100" w:beforeAutospacing="1" w:after="0" w:line="240" w:lineRule="auto"/>
      <w:jc w:val="both"/>
    </w:pPr>
    <w:rPr>
      <w:rFonts w:ascii="Times New Roman" w:hAnsi="Times New Roman" w:eastAsia="Times New Roman" w:cs="Times New Roman"/>
      <w:sz w:val="24"/>
      <w:szCs w:val="24"/>
      <w:lang w:val="en-US"/>
    </w:rPr>
  </w:style>
  <w:style w:type="character" w:styleId="15">
    <w:name w:val="Strong"/>
    <w:qFormat/>
    <w:uiPriority w:val="22"/>
    <w:rPr>
      <w:b/>
      <w:bCs/>
    </w:rPr>
  </w:style>
  <w:style w:type="table" w:styleId="16">
    <w:name w:val="Table Grid"/>
    <w:basedOn w:val="4"/>
    <w:qFormat/>
    <w:uiPriority w:val="59"/>
    <w:pPr>
      <w:spacing w:after="0" w:line="240" w:lineRule="auto"/>
    </w:pPr>
    <w:rPr>
      <w:rFonts w:ascii="Times New Roman" w:hAnsi="Times New Roman" w:eastAsia="SimSu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Heading 3 Char"/>
    <w:basedOn w:val="3"/>
    <w:link w:val="2"/>
    <w:qFormat/>
    <w:uiPriority w:val="9"/>
    <w:rPr>
      <w:rFonts w:ascii="Times New Roman" w:hAnsi="Times New Roman" w:eastAsia="Times New Roman" w:cs="Times New Roman"/>
      <w:b/>
      <w:bCs/>
      <w:sz w:val="27"/>
      <w:szCs w:val="27"/>
    </w:rPr>
  </w:style>
  <w:style w:type="character" w:customStyle="1" w:styleId="18">
    <w:name w:val="Header Char"/>
    <w:basedOn w:val="3"/>
    <w:link w:val="11"/>
    <w:qFormat/>
    <w:uiPriority w:val="99"/>
    <w:rPr>
      <w:rFonts w:ascii="Calibri" w:hAnsi="Calibri" w:eastAsia="Calibri" w:cs="Times New Roman"/>
      <w:lang w:val="en-US"/>
    </w:rPr>
  </w:style>
  <w:style w:type="character" w:customStyle="1" w:styleId="19">
    <w:name w:val="Footer Char"/>
    <w:basedOn w:val="3"/>
    <w:link w:val="10"/>
    <w:qFormat/>
    <w:uiPriority w:val="99"/>
    <w:rPr>
      <w:rFonts w:ascii="Calibri" w:hAnsi="Calibri" w:eastAsia="Calibri" w:cs="Times New Roman"/>
      <w:lang w:val="en-US"/>
    </w:rPr>
  </w:style>
  <w:style w:type="character" w:customStyle="1" w:styleId="20">
    <w:name w:val="Balloon Text Char"/>
    <w:basedOn w:val="3"/>
    <w:link w:val="5"/>
    <w:semiHidden/>
    <w:qFormat/>
    <w:uiPriority w:val="99"/>
    <w:rPr>
      <w:rFonts w:ascii="Tahoma" w:hAnsi="Tahoma" w:cs="Tahoma"/>
      <w:sz w:val="16"/>
      <w:szCs w:val="16"/>
    </w:rPr>
  </w:style>
  <w:style w:type="paragraph" w:customStyle="1" w:styleId="21">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 w:type="paragraph" w:styleId="22">
    <w:name w:val="List Paragraph"/>
    <w:basedOn w:val="1"/>
    <w:next w:val="13"/>
    <w:qFormat/>
    <w:uiPriority w:val="34"/>
    <w:pPr>
      <w:ind w:left="720"/>
      <w:contextualSpacing/>
    </w:pPr>
    <w:rPr>
      <w:rFonts w:ascii="Calibri" w:hAnsi="Calibri" w:eastAsia="Calibri" w:cs="Times New Roman"/>
      <w:lang w:eastAsia="en-GB"/>
    </w:rPr>
  </w:style>
  <w:style w:type="character" w:customStyle="1" w:styleId="23">
    <w:name w:val="citation"/>
    <w:uiPriority w:val="0"/>
  </w:style>
  <w:style w:type="character" w:customStyle="1" w:styleId="24">
    <w:name w:val="A3"/>
    <w:qFormat/>
    <w:uiPriority w:val="99"/>
    <w:rPr>
      <w:color w:val="000000"/>
      <w:sz w:val="18"/>
      <w:szCs w:val="18"/>
    </w:rPr>
  </w:style>
  <w:style w:type="character" w:customStyle="1" w:styleId="25">
    <w:name w:val="Body Text Char"/>
    <w:basedOn w:val="3"/>
    <w:link w:val="6"/>
    <w:qFormat/>
    <w:uiPriority w:val="0"/>
    <w:rPr>
      <w:rFonts w:ascii="Times New Roman" w:hAnsi="Times New Roman" w:eastAsia="Times New Roman" w:cs="Times New Roman"/>
      <w:b/>
      <w:bCs/>
      <w:sz w:val="24"/>
      <w:szCs w:val="24"/>
    </w:rPr>
  </w:style>
  <w:style w:type="character" w:customStyle="1" w:styleId="26">
    <w:name w:val="A0"/>
    <w:uiPriority w:val="99"/>
    <w:rPr>
      <w:b/>
      <w:bCs/>
      <w:color w:val="000000"/>
      <w:sz w:val="32"/>
      <w:szCs w:val="32"/>
    </w:rPr>
  </w:style>
  <w:style w:type="character" w:customStyle="1" w:styleId="27">
    <w:name w:val="whitespace-normal"/>
    <w:basedOn w:val="3"/>
    <w:uiPriority w:val="0"/>
  </w:style>
  <w:style w:type="paragraph" w:customStyle="1" w:styleId="28">
    <w:name w:val="Normal1"/>
    <w:uiPriority w:val="0"/>
    <w:pPr>
      <w:spacing w:after="160" w:line="360" w:lineRule="auto"/>
      <w:jc w:val="both"/>
    </w:pPr>
    <w:rPr>
      <w:rFonts w:ascii="Times New Roman" w:hAnsi="Times New Roman" w:eastAsia="Times New Roman" w:cs="Times New Roman"/>
      <w:sz w:val="24"/>
      <w:szCs w:val="24"/>
      <w:lang w:val="en-GB" w:eastAsia="en-US" w:bidi="ar-SA"/>
    </w:rPr>
  </w:style>
  <w:style w:type="character" w:customStyle="1" w:styleId="29">
    <w:name w:val="Comment Text Char"/>
    <w:basedOn w:val="3"/>
    <w:link w:val="7"/>
    <w:semiHidden/>
    <w:uiPriority w:val="99"/>
    <w:rPr>
      <w:rFonts w:ascii="Calibri" w:hAnsi="Calibri" w:eastAsia="Calibri" w:cs="Times New Roman"/>
      <w:sz w:val="20"/>
      <w:szCs w:val="20"/>
      <w:lang w:eastAsia="en-GB"/>
    </w:rPr>
  </w:style>
  <w:style w:type="character" w:customStyle="1" w:styleId="30">
    <w:name w:val="Comment Subject Char"/>
    <w:basedOn w:val="29"/>
    <w:link w:val="8"/>
    <w:semiHidden/>
    <w:uiPriority w:val="99"/>
    <w:rPr>
      <w:rFonts w:ascii="Calibri" w:hAnsi="Calibri" w:eastAsia="Calibri" w:cs="Times New Roman"/>
      <w:b/>
      <w:bCs/>
      <w:sz w:val="20"/>
      <w:szCs w:val="20"/>
      <w:lang w:eastAsia="en-GB"/>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1706</Words>
  <Characters>9503</Characters>
  <Lines>338</Lines>
  <Paragraphs>95</Paragraphs>
  <TotalTime>357</TotalTime>
  <ScaleCrop>false</ScaleCrop>
  <LinksUpToDate>false</LinksUpToDate>
  <CharactersWithSpaces>11312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2025-12-22T16:26:00Z</dcterms:created>
  <dc:creator>Lenovo</dc:creator>
  <cp:lastModifiedBy>User</cp:lastModifiedBy>
  <cp:lastPrinted>2024-07-17T10:10:00Z</cp:lastPrinted>
  <dcterms:modified xsi:type="dcterms:W3CDTF">2026-09-27T20:06:26Z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eyJoZGlkIjoiMjg3MTU3NWE5YTM0NTc1MTM3ODFhNTgwODY2NjFjNTQifQ==</vt:lpwstr>
  </property>
  <property fmtid="{D5CDD505-2E9C-101B-9397-08002B2CF9AE}" pid="3" name="KSOProductBuildVer">
    <vt:lpwstr>1033-12.1.0.28485</vt:lpwstr>
  </property>
  <property fmtid="{D5CDD505-2E9C-101B-9397-08002B2CF9AE}" pid="4" name="ICV">
    <vt:lpwstr>F1E948B875FA423194B85BD7B36047C2_12</vt:lpwstr>
  </property>
</Properties>
</file>