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97510E">
      <w:pPr>
        <w:spacing w:before="120" w:after="0" w:line="240" w:lineRule="auto"/>
        <w:rPr>
          <w:rFonts w:ascii="Times New Roman" w:hAnsi="Times New Roman" w:eastAsia="Calibri" w:cs="Times New Roman"/>
          <w:b/>
          <w:bCs/>
          <w:lang w:val="en-US"/>
        </w:rPr>
      </w:pPr>
      <w:r>
        <w:rPr>
          <w:rFonts w:ascii="Times New Roman" w:hAnsi="Times New Roman" w:eastAsia="Calibri" w:cs="Times New Roman"/>
          <w:b/>
          <w:bCs/>
          <w:lang w:val="en-US"/>
        </w:rPr>
        <w:drawing>
          <wp:inline distT="0" distB="0" distL="0" distR="0">
            <wp:extent cx="6462395" cy="1076960"/>
            <wp:effectExtent l="19050" t="19050" r="14605" b="279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6462395" cy="1077066"/>
                    </a:xfrm>
                    <a:prstGeom prst="rect">
                      <a:avLst/>
                    </a:prstGeom>
                    <a:noFill/>
                    <a:ln w="19050">
                      <a:solidFill>
                        <a:srgbClr val="00B050"/>
                      </a:solidFill>
                    </a:ln>
                  </pic:spPr>
                </pic:pic>
              </a:graphicData>
            </a:graphic>
          </wp:inline>
        </w:drawing>
      </w:r>
      <w:r>
        <w:rPr>
          <w:rFonts w:ascii="Times New Roman" w:hAnsi="Times New Roman" w:eastAsia="Calibri" w:cs="Times New Roman"/>
          <w:b/>
          <w:bCs/>
          <w:lang w:val="en-US"/>
        </w:rPr>
        <w:t>JoSVAS 2026 September Vol. 8 Issue 3: 260-268</w:t>
      </w:r>
    </w:p>
    <w:p w14:paraId="60FEBEEA">
      <w:pPr>
        <w:spacing w:after="0" w:line="240" w:lineRule="auto"/>
        <w:rPr>
          <w:rFonts w:ascii="Times New Roman" w:hAnsi="Times New Roman" w:eastAsia="Calibri" w:cs="Times New Roman"/>
          <w:b/>
          <w:bCs/>
          <w:lang w:val="en-US"/>
        </w:rPr>
      </w:pPr>
      <w:r>
        <w:rPr>
          <w:rFonts w:ascii="Times New Roman" w:hAnsi="Times New Roman" w:eastAsia="Calibri" w:cs="Times New Roman"/>
          <w:b/>
          <w:bCs/>
          <w:lang w:val="en-US"/>
        </w:rPr>
        <w:t>©2026 College of Veterinary Medicine,                                                                          Original Research Article</w:t>
      </w:r>
    </w:p>
    <w:p w14:paraId="679A91FE">
      <w:pPr>
        <w:spacing w:after="0" w:line="240" w:lineRule="auto"/>
        <w:ind w:left="-630" w:firstLine="630"/>
        <w:rPr>
          <w:rFonts w:ascii="Times New Roman" w:hAnsi="Times New Roman" w:eastAsia="Calibri" w:cs="Times New Roman"/>
          <w:b/>
          <w:bCs/>
          <w:sz w:val="20"/>
          <w:szCs w:val="20"/>
          <w:lang w:val="en-US"/>
        </w:rPr>
      </w:pPr>
      <w:r>
        <w:rPr>
          <w:rFonts w:ascii="Times New Roman" w:hAnsi="Times New Roman" w:eastAsia="Calibri" w:cs="Times New Roman"/>
          <w:b/>
          <w:bCs/>
          <w:sz w:val="20"/>
          <w:szCs w:val="20"/>
          <w:lang w:val="en-US"/>
        </w:rPr>
        <w:t>Michael Okpara University of Agriculture, Umudike, Nigeria</w:t>
      </w:r>
    </w:p>
    <w:p w14:paraId="18A12168">
      <w:pPr>
        <w:spacing w:before="120" w:after="120"/>
        <w:jc w:val="center"/>
        <w:rPr>
          <w:rFonts w:ascii="Times New Roman" w:hAnsi="Times New Roman" w:eastAsia="Calibri" w:cs="Times New Roman"/>
          <w:b/>
          <w:bCs/>
          <w:sz w:val="28"/>
          <w:szCs w:val="28"/>
        </w:rPr>
      </w:pPr>
      <w:r>
        <w:rPr>
          <w:rFonts w:ascii="Times New Roman" w:hAnsi="Times New Roman" w:cs="Times New Roman"/>
          <w:b/>
          <w:bCs/>
          <w:sz w:val="28"/>
          <w:szCs w:val="28"/>
        </w:rPr>
        <w:t>SURVEY AND POST-OPERATIVE RADIOGRAPHIC EVALUATION OF LONG BONE FRACTURES IN DOGS: A RETROSPECTIVE STUDY</w:t>
      </w:r>
    </w:p>
    <w:p w14:paraId="1534F17F">
      <w:pPr>
        <w:spacing w:after="120"/>
        <w:jc w:val="center"/>
        <w:rPr>
          <w:rFonts w:ascii="Times New Roman" w:hAnsi="Times New Roman" w:eastAsia="Calibri" w:cs="Times New Roman"/>
          <w:b/>
          <w:bCs/>
          <w:sz w:val="24"/>
          <w:szCs w:val="24"/>
          <w:vertAlign w:val="superscript"/>
        </w:rPr>
      </w:pPr>
      <w:r>
        <w:rPr>
          <w:rFonts w:ascii="Times New Roman" w:hAnsi="Times New Roman" w:cs="Times New Roman"/>
          <w:b/>
          <w:sz w:val="24"/>
          <w:szCs w:val="24"/>
        </w:rPr>
        <w:t xml:space="preserve"> </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BAPPAH, M.N., </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BADA, A.A., </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MUHAMMAD, S., </w:t>
      </w:r>
      <w:r>
        <w:rPr>
          <w:rFonts w:ascii="Times New Roman" w:hAnsi="Times New Roman" w:cs="Times New Roman"/>
          <w:b/>
          <w:sz w:val="24"/>
          <w:szCs w:val="24"/>
          <w:vertAlign w:val="superscript"/>
        </w:rPr>
        <w:t>2</w:t>
      </w:r>
      <w:r>
        <w:rPr>
          <w:rFonts w:ascii="Times New Roman" w:hAnsi="Times New Roman" w:cs="Times New Roman"/>
          <w:b/>
          <w:sz w:val="24"/>
          <w:szCs w:val="24"/>
        </w:rPr>
        <w:t xml:space="preserve">MANA, H.P., </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LAWAL, M., </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MUHAMMAD, A.Y., </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ADAMU, M., </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SANI, A.S. &amp; </w:t>
      </w:r>
      <w:r>
        <w:rPr>
          <w:rFonts w:ascii="Times New Roman" w:hAnsi="Times New Roman" w:cs="Times New Roman"/>
          <w:b/>
          <w:sz w:val="24"/>
          <w:szCs w:val="24"/>
          <w:vertAlign w:val="superscript"/>
        </w:rPr>
        <w:t>3</w:t>
      </w:r>
      <w:r>
        <w:rPr>
          <w:rFonts w:ascii="Times New Roman" w:hAnsi="Times New Roman" w:cs="Times New Roman"/>
          <w:b/>
          <w:sz w:val="24"/>
          <w:szCs w:val="24"/>
        </w:rPr>
        <w:t>JOSHUA</w:t>
      </w:r>
      <w:r>
        <w:rPr>
          <w:rFonts w:hint="default" w:ascii="Times New Roman" w:hAnsi="Times New Roman" w:cs="Times New Roman"/>
          <w:b/>
          <w:sz w:val="24"/>
          <w:szCs w:val="24"/>
          <w:lang w:val="en-US"/>
        </w:rPr>
        <w:t>,</w:t>
      </w:r>
      <w:bookmarkStart w:id="0" w:name="_GoBack"/>
      <w:bookmarkEnd w:id="0"/>
      <w:r>
        <w:rPr>
          <w:rFonts w:ascii="Times New Roman" w:hAnsi="Times New Roman" w:cs="Times New Roman"/>
          <w:b/>
          <w:sz w:val="24"/>
          <w:szCs w:val="24"/>
        </w:rPr>
        <w:t xml:space="preserve"> U.</w:t>
      </w:r>
    </w:p>
    <w:p w14:paraId="30CEC8FD">
      <w:pPr>
        <w:pStyle w:val="16"/>
        <w:spacing w:line="276" w:lineRule="auto"/>
        <w:jc w:val="center"/>
        <w:rPr>
          <w:i/>
          <w:sz w:val="20"/>
          <w:szCs w:val="20"/>
        </w:rPr>
      </w:pPr>
      <w:r>
        <w:rPr>
          <w:i/>
          <w:sz w:val="20"/>
          <w:szCs w:val="20"/>
          <w:vertAlign w:val="superscript"/>
        </w:rPr>
        <w:t>1</w:t>
      </w:r>
      <w:r>
        <w:rPr>
          <w:i/>
          <w:sz w:val="20"/>
          <w:szCs w:val="20"/>
        </w:rPr>
        <w:t xml:space="preserve">Department of Veterinary Surgery and Radiology, Ahmadu Bello University, Zaria, Nigeria </w:t>
      </w:r>
      <w:r>
        <w:rPr>
          <w:i/>
          <w:sz w:val="20"/>
          <w:szCs w:val="20"/>
          <w:vertAlign w:val="superscript"/>
        </w:rPr>
        <w:t>2</w:t>
      </w:r>
      <w:r>
        <w:rPr>
          <w:i/>
          <w:sz w:val="20"/>
          <w:szCs w:val="20"/>
        </w:rPr>
        <w:t xml:space="preserve">Department of Veterinary Surgery and Radiology, University of Maiduguri, Maiduguri, Nigeria </w:t>
      </w:r>
      <w:r>
        <w:rPr>
          <w:i/>
          <w:sz w:val="20"/>
          <w:szCs w:val="20"/>
          <w:vertAlign w:val="superscript"/>
        </w:rPr>
        <w:t>3</w:t>
      </w:r>
      <w:r>
        <w:rPr>
          <w:i/>
          <w:sz w:val="20"/>
          <w:szCs w:val="20"/>
        </w:rPr>
        <w:t>Department of Veterinary Surgery and Radiology, Michael Okpara University of Agriculture, Umudike, Nigeria</w:t>
      </w:r>
    </w:p>
    <w:p w14:paraId="77B4AE50">
      <w:pPr>
        <w:pStyle w:val="16"/>
        <w:spacing w:line="276" w:lineRule="auto"/>
        <w:jc w:val="center"/>
        <w:rPr>
          <w:i/>
          <w:sz w:val="20"/>
          <w:szCs w:val="20"/>
        </w:rPr>
      </w:pPr>
    </w:p>
    <w:p w14:paraId="518B5577">
      <w:pPr>
        <w:pBdr>
          <w:bottom w:val="single" w:color="auto" w:sz="4" w:space="1"/>
        </w:pBdr>
        <w:spacing w:after="120"/>
        <w:jc w:val="center"/>
        <w:rPr>
          <w:rFonts w:ascii="Times New Roman" w:hAnsi="Times New Roman" w:eastAsia="Times New Roman" w:cs="Times New Roman"/>
          <w:bCs/>
          <w:color w:val="000000" w:themeColor="text1"/>
          <w:sz w:val="20"/>
          <w:szCs w:val="20"/>
          <w:lang w:val="en-US"/>
        </w:rPr>
      </w:pPr>
      <w:r>
        <w:rPr>
          <w:rFonts w:ascii="Times New Roman" w:hAnsi="Times New Roman" w:eastAsia="Times New Roman" w:cs="Times New Roman"/>
          <w:bCs/>
          <w:i/>
          <w:color w:val="000000" w:themeColor="text1"/>
          <w:sz w:val="20"/>
          <w:szCs w:val="20"/>
          <w:lang w:val="en-US"/>
        </w:rPr>
        <w:t>*Correspondence:</w:t>
      </w:r>
      <w:r>
        <w:rPr>
          <w:rFonts w:ascii="Times New Roman" w:hAnsi="Times New Roman" w:cs="Times New Roman"/>
          <w:color w:val="0000FF"/>
          <w:sz w:val="20"/>
          <w:szCs w:val="20"/>
        </w:rPr>
        <w:t xml:space="preserve"> </w:t>
      </w:r>
      <w:r>
        <w:fldChar w:fldCharType="begin"/>
      </w:r>
      <w:r>
        <w:instrText xml:space="preserve"> HYPERLINK "mailto:mnbappah@abu.edu.ng" </w:instrText>
      </w:r>
      <w:r>
        <w:fldChar w:fldCharType="separate"/>
      </w:r>
      <w:r>
        <w:rPr>
          <w:rStyle w:val="9"/>
          <w:rFonts w:ascii="Times New Roman" w:hAnsi="Times New Roman" w:cs="Times New Roman"/>
          <w:sz w:val="20"/>
          <w:szCs w:val="20"/>
        </w:rPr>
        <w:t>mnbappah@abu.edu.ng</w:t>
      </w:r>
      <w:r>
        <w:rPr>
          <w:rStyle w:val="9"/>
          <w:rFonts w:ascii="Times New Roman" w:hAnsi="Times New Roman" w:cs="Times New Roman"/>
          <w:sz w:val="20"/>
          <w:szCs w:val="20"/>
        </w:rPr>
        <w:fldChar w:fldCharType="end"/>
      </w:r>
      <w:r>
        <w:rPr>
          <w:rStyle w:val="9"/>
          <w:rFonts w:ascii="Times New Roman" w:hAnsi="Times New Roman" w:cs="Times New Roman"/>
          <w:sz w:val="20"/>
          <w:szCs w:val="20"/>
          <w:lang w:val="en-US"/>
        </w:rPr>
        <w:t xml:space="preserve">; </w:t>
      </w:r>
      <w:r>
        <w:rPr>
          <w:rFonts w:ascii="Times New Roman" w:hAnsi="Times New Roman" w:cs="Times New Roman"/>
          <w:sz w:val="20"/>
          <w:szCs w:val="20"/>
        </w:rPr>
        <w:t>+2348039232275</w:t>
      </w:r>
    </w:p>
    <w:p w14:paraId="575F9E5F">
      <w:pPr>
        <w:spacing w:before="120" w:after="0" w:line="240" w:lineRule="auto"/>
        <w:rPr>
          <w:rFonts w:ascii="Times New Roman" w:hAnsi="Times New Roman" w:eastAsia="Calibri" w:cs="Times New Roman"/>
          <w:color w:val="000000" w:themeColor="text1"/>
          <w:lang w:val="en-US"/>
        </w:rPr>
      </w:pPr>
      <w:r>
        <w:rPr>
          <w:rFonts w:ascii="Times New Roman" w:hAnsi="Times New Roman" w:eastAsia="Calibri" w:cs="Times New Roman"/>
          <w:b/>
          <w:color w:val="000000" w:themeColor="text1"/>
          <w:lang w:val="en-US"/>
        </w:rPr>
        <w:t>ABSTRACT</w:t>
      </w:r>
    </w:p>
    <w:p w14:paraId="1C58CC3D">
      <w:pPr>
        <w:jc w:val="both"/>
        <w:rPr>
          <w:rFonts w:ascii="Times New Roman" w:hAnsi="Times New Roman" w:cs="Times New Roman"/>
          <w:sz w:val="20"/>
          <w:szCs w:val="20"/>
        </w:rPr>
      </w:pPr>
      <w:r>
        <w:rPr>
          <w:rFonts w:ascii="Times New Roman" w:hAnsi="Times New Roman" w:cs="Times New Roman"/>
          <w:sz w:val="20"/>
          <w:szCs w:val="20"/>
        </w:rPr>
        <w:t xml:space="preserve">Radiography is a crucial diagnostic technique for musculoskeletal diseases. This study was aimed to radiographically determine the incidence of long bone fractures and their post-operative evaluations in dogs presented to Veterinary Teaching Hospital, Ahmadu Bello University, Zaria from 2019 to 2024. A total of 135 radiographs of long bone defects were evaluated, out of which 105 were long bone fractures. The common long bone fractures observed were 63 transverse  (60.00%), 27 oblique (25.71%), 10 comminuted (9.52%) and 5 Salter Harris fractures(4.76%). These fractures occurred in femur 41 (39.05%), tibia and fibula 40 (38.10%), radius and ulna 16 (15.23%), and humerus 8(7.62%). The management techniques observed were 60 open reduction(57.14%), and 45 closed reduction (42.86%).In open reduction techniques, there were 20.00% with grade 0 (excellent alignment), 38.33% with grade I (good alignment), 23.33% with grade II (fair alignment), and 18.33% with grade III (poor alignment), while in closed reduction techniques, there were 24.44% with grade 0 (excellent alignment), 28.89% with grade I (good alignment), 22.22% with grade II (fair alignment), and 24.44% with grade III (poor alignment). </w:t>
      </w:r>
      <w:r>
        <w:rPr>
          <w:rFonts w:ascii="Times New Roman" w:hAnsi="Times New Roman" w:cs="Times New Roman"/>
          <w:sz w:val="20"/>
          <w:szCs w:val="20"/>
          <w:shd w:val="clear" w:color="auto" w:fill="FFFFFF"/>
        </w:rPr>
        <w:t>In conclusion, from this study, transverse fracture was the most common long bone fracture with femur being the most common long bone affected. The intramedullary pin was observed to be the most common open reduction technique, while external skeletal fixation was the most common closed reduction technique. In addition, intramedullary pining with cerclage wire offered excellent alignment in open reduction, while external skeletal fixation offered excellent alignment in closed reduction.</w:t>
      </w:r>
    </w:p>
    <w:p w14:paraId="37D8049C">
      <w:pPr>
        <w:pBdr>
          <w:bottom w:val="single" w:color="auto" w:sz="4" w:space="1"/>
        </w:pBdr>
        <w:spacing w:after="120" w:line="240" w:lineRule="auto"/>
        <w:jc w:val="both"/>
        <w:rPr>
          <w:rFonts w:ascii="Times New Roman" w:hAnsi="Times New Roman" w:eastAsia="Calibri" w:cs="Times New Roman"/>
          <w:bCs/>
          <w:color w:val="000000" w:themeColor="text1"/>
          <w:sz w:val="20"/>
          <w:szCs w:val="20"/>
          <w:lang w:val="en-US"/>
        </w:rPr>
      </w:pPr>
      <w:r>
        <w:rPr>
          <w:rFonts w:ascii="Times New Roman" w:hAnsi="Times New Roman" w:eastAsia="Calibri" w:cs="Times New Roman"/>
          <w:b/>
          <w:color w:val="000000" w:themeColor="text1"/>
          <w:sz w:val="20"/>
          <w:szCs w:val="20"/>
          <w:lang w:val="en-US"/>
        </w:rPr>
        <w:t>Keywords:</w:t>
      </w:r>
      <w:r>
        <w:rPr>
          <w:rFonts w:ascii="Times New Roman" w:hAnsi="Times New Roman" w:eastAsia="Calibri" w:cs="Times New Roman"/>
          <w:bCs/>
          <w:color w:val="000000" w:themeColor="text1"/>
          <w:sz w:val="20"/>
          <w:szCs w:val="20"/>
          <w:lang w:val="en-US"/>
        </w:rPr>
        <w:t xml:space="preserve"> canine, fracture alignment, fracture reduction, post-operative radiographs, survey radiographs</w:t>
      </w:r>
    </w:p>
    <w:p w14:paraId="7FEC130E">
      <w:pPr>
        <w:pBdr>
          <w:bottom w:val="single" w:color="auto" w:sz="4" w:space="1"/>
        </w:pBdr>
        <w:spacing w:after="120" w:line="240" w:lineRule="auto"/>
        <w:jc w:val="both"/>
        <w:rPr>
          <w:rFonts w:ascii="Times New Roman" w:hAnsi="Times New Roman" w:eastAsia="Calibri" w:cs="Times New Roman"/>
          <w:bCs/>
          <w:color w:val="000000" w:themeColor="text1"/>
          <w:sz w:val="20"/>
          <w:szCs w:val="20"/>
          <w:lang w:val="en-US"/>
        </w:rPr>
        <w:sectPr>
          <w:headerReference r:id="rId7" w:type="first"/>
          <w:headerReference r:id="rId5" w:type="default"/>
          <w:footerReference r:id="rId8" w:type="default"/>
          <w:headerReference r:id="rId6" w:type="even"/>
          <w:pgSz w:w="11907" w:h="16839"/>
          <w:pgMar w:top="1382" w:right="837" w:bottom="1382" w:left="893" w:header="720" w:footer="720" w:gutter="0"/>
          <w:pgNumType w:start="260"/>
          <w:cols w:space="288" w:num="1"/>
          <w:docGrid w:linePitch="360" w:charSpace="0"/>
        </w:sectPr>
      </w:pPr>
    </w:p>
    <w:p w14:paraId="17569368">
      <w:pPr>
        <w:spacing w:after="0"/>
        <w:jc w:val="both"/>
        <w:rPr>
          <w:rFonts w:ascii="Times New Roman" w:hAnsi="Times New Roman" w:eastAsia="Calibri" w:cs="Times New Roman"/>
          <w:b/>
          <w:bCs/>
          <w:iCs/>
          <w:color w:val="000000" w:themeColor="text1"/>
          <w:sz w:val="20"/>
          <w:szCs w:val="20"/>
          <w:lang w:val="en-US"/>
        </w:rPr>
      </w:pPr>
    </w:p>
    <w:p w14:paraId="5BB8E192">
      <w:pPr>
        <w:spacing w:after="0"/>
        <w:jc w:val="both"/>
        <w:rPr>
          <w:rFonts w:ascii="Times New Roman" w:hAnsi="Times New Roman" w:eastAsia="Calibri" w:cs="Times New Roman"/>
          <w:b/>
          <w:bCs/>
          <w:iCs/>
          <w:color w:val="000000" w:themeColor="text1"/>
          <w:sz w:val="20"/>
          <w:szCs w:val="20"/>
          <w:lang w:val="en-US"/>
        </w:rPr>
      </w:pPr>
      <w:r>
        <w:rPr>
          <w:rFonts w:ascii="Times New Roman" w:hAnsi="Times New Roman" w:eastAsia="Calibri" w:cs="Times New Roman"/>
          <w:b/>
          <w:bCs/>
          <w:iCs/>
          <w:color w:val="000000" w:themeColor="text1"/>
          <w:sz w:val="20"/>
          <w:szCs w:val="20"/>
          <w:lang w:val="en-US"/>
        </w:rPr>
        <w:t>INTRODUCTION</w:t>
      </w:r>
    </w:p>
    <w:p w14:paraId="668F09C9">
      <w:pPr>
        <w:jc w:val="both"/>
        <w:rPr>
          <w:rFonts w:ascii="Times New Roman" w:hAnsi="Times New Roman" w:cs="Times New Roman"/>
          <w:sz w:val="20"/>
          <w:szCs w:val="20"/>
        </w:rPr>
      </w:pPr>
      <w:r>
        <w:rPr>
          <w:rFonts w:ascii="Times New Roman" w:hAnsi="Times New Roman" w:cs="Times New Roman"/>
          <w:sz w:val="20"/>
          <w:szCs w:val="20"/>
        </w:rPr>
        <w:t xml:space="preserve">Radiography is a crucial diagnostic technique for musculoskeletal diseases, and additional musculoskeletal information can be obtained using other imaging modalities such as computed tomography, nuclear medicine, magnetic resonance imaging, and contrast radiography (Burk &amp; Feeney, 2003). Radiography is considered an effective imaging modality to evaluate bone and its lesions, assess bone management techniques and monitor bone healing processes (Clement </w:t>
      </w:r>
      <w:r>
        <w:rPr>
          <w:rFonts w:ascii="Times New Roman" w:hAnsi="Times New Roman" w:cs="Times New Roman"/>
          <w:i/>
          <w:sz w:val="20"/>
          <w:szCs w:val="20"/>
        </w:rPr>
        <w:t>et al</w:t>
      </w:r>
      <w:r>
        <w:rPr>
          <w:rFonts w:ascii="Times New Roman" w:hAnsi="Times New Roman" w:cs="Times New Roman"/>
          <w:sz w:val="20"/>
          <w:szCs w:val="20"/>
        </w:rPr>
        <w:t xml:space="preserve">., 2003; Morgan &amp; Wolvekamp, </w:t>
      </w:r>
    </w:p>
    <w:p w14:paraId="19B68DB3">
      <w:pPr>
        <w:spacing w:after="0"/>
        <w:jc w:val="both"/>
        <w:rPr>
          <w:rFonts w:ascii="Times New Roman" w:hAnsi="Times New Roman" w:cs="Times New Roman"/>
          <w:sz w:val="20"/>
          <w:szCs w:val="20"/>
        </w:rPr>
      </w:pPr>
    </w:p>
    <w:p w14:paraId="256B9FB1">
      <w:pPr>
        <w:spacing w:after="0"/>
        <w:jc w:val="both"/>
        <w:rPr>
          <w:rFonts w:ascii="Times New Roman" w:hAnsi="Times New Roman" w:cs="Times New Roman"/>
          <w:sz w:val="20"/>
          <w:szCs w:val="20"/>
        </w:rPr>
      </w:pPr>
      <w:r>
        <w:rPr>
          <w:rFonts w:ascii="Times New Roman" w:hAnsi="Times New Roman" w:cs="Times New Roman"/>
          <w:sz w:val="20"/>
          <w:szCs w:val="20"/>
        </w:rPr>
        <w:t xml:space="preserve">2004; </w:t>
      </w:r>
      <w:r>
        <w:rPr>
          <w:rFonts w:ascii="Times New Roman" w:hAnsi="Times New Roman" w:cs="Times New Roman"/>
          <w:sz w:val="20"/>
          <w:szCs w:val="20"/>
          <w:shd w:val="clear" w:color="auto" w:fill="FFFFFF"/>
        </w:rPr>
        <w:t>Marcellin-Little, 2020; Abako</w:t>
      </w:r>
      <w:r>
        <w:rPr>
          <w:rFonts w:ascii="Times New Roman" w:hAnsi="Times New Roman" w:cs="Times New Roman"/>
          <w:i/>
          <w:sz w:val="20"/>
          <w:szCs w:val="20"/>
          <w:shd w:val="clear" w:color="auto" w:fill="FFFFFF"/>
        </w:rPr>
        <w:t>et al</w:t>
      </w:r>
      <w:r>
        <w:rPr>
          <w:rFonts w:ascii="Times New Roman" w:hAnsi="Times New Roman" w:cs="Times New Roman"/>
          <w:sz w:val="20"/>
          <w:szCs w:val="20"/>
          <w:shd w:val="clear" w:color="auto" w:fill="FFFFFF"/>
        </w:rPr>
        <w:t xml:space="preserve">., 2021; Dakhane </w:t>
      </w:r>
      <w:r>
        <w:rPr>
          <w:rFonts w:ascii="Times New Roman" w:hAnsi="Times New Roman" w:cs="Times New Roman"/>
          <w:i/>
          <w:sz w:val="20"/>
          <w:szCs w:val="20"/>
          <w:shd w:val="clear" w:color="auto" w:fill="FFFFFF"/>
        </w:rPr>
        <w:t>et al</w:t>
      </w:r>
      <w:r>
        <w:rPr>
          <w:rFonts w:ascii="Times New Roman" w:hAnsi="Times New Roman" w:cs="Times New Roman"/>
          <w:sz w:val="20"/>
          <w:szCs w:val="20"/>
          <w:shd w:val="clear" w:color="auto" w:fill="FFFFFF"/>
        </w:rPr>
        <w:t xml:space="preserve">., 2021; </w:t>
      </w:r>
      <w:r>
        <w:rPr>
          <w:rFonts w:ascii="Times New Roman" w:hAnsi="Times New Roman" w:cs="Times New Roman"/>
          <w:sz w:val="20"/>
          <w:szCs w:val="20"/>
        </w:rPr>
        <w:t xml:space="preserve">Meomartino </w:t>
      </w:r>
      <w:r>
        <w:rPr>
          <w:rFonts w:ascii="Times New Roman" w:hAnsi="Times New Roman" w:cs="Times New Roman"/>
          <w:i/>
          <w:sz w:val="20"/>
          <w:szCs w:val="20"/>
        </w:rPr>
        <w:t>et al</w:t>
      </w:r>
      <w:r>
        <w:rPr>
          <w:rFonts w:ascii="Times New Roman" w:hAnsi="Times New Roman" w:cs="Times New Roman"/>
          <w:sz w:val="20"/>
          <w:szCs w:val="20"/>
        </w:rPr>
        <w:t>., 2021).</w:t>
      </w:r>
    </w:p>
    <w:p w14:paraId="2B389A8E">
      <w:pPr>
        <w:tabs>
          <w:tab w:val="left" w:pos="3300"/>
        </w:tabs>
        <w:spacing w:after="0"/>
        <w:jc w:val="both"/>
        <w:rPr>
          <w:rFonts w:ascii="Times New Roman" w:hAnsi="Times New Roman" w:cs="Times New Roman"/>
          <w:sz w:val="20"/>
          <w:szCs w:val="20"/>
        </w:rPr>
      </w:pPr>
      <w:r>
        <w:rPr>
          <w:rFonts w:ascii="Times New Roman" w:hAnsi="Times New Roman" w:cs="Times New Roman"/>
          <w:sz w:val="20"/>
          <w:szCs w:val="20"/>
        </w:rPr>
        <w:t>Survey radiography is usually undertaken to diagnose any underlying conditions which can be validated by x-ray (Kinns</w:t>
      </w:r>
      <w:r>
        <w:rPr>
          <w:rFonts w:ascii="Times New Roman" w:hAnsi="Times New Roman" w:cs="Times New Roman"/>
          <w:sz w:val="20"/>
          <w:szCs w:val="20"/>
          <w:lang w:val="en-US"/>
        </w:rPr>
        <w:t xml:space="preserve"> </w:t>
      </w:r>
      <w:r>
        <w:rPr>
          <w:rFonts w:ascii="Times New Roman" w:hAnsi="Times New Roman" w:cs="Times New Roman"/>
          <w:i/>
          <w:sz w:val="20"/>
          <w:szCs w:val="20"/>
        </w:rPr>
        <w:t>et al</w:t>
      </w:r>
      <w:r>
        <w:rPr>
          <w:rFonts w:ascii="Times New Roman" w:hAnsi="Times New Roman" w:cs="Times New Roman"/>
          <w:sz w:val="20"/>
          <w:szCs w:val="20"/>
        </w:rPr>
        <w:t xml:space="preserve">., 2006; Swaroop </w:t>
      </w:r>
      <w:r>
        <w:rPr>
          <w:rFonts w:ascii="Times New Roman" w:hAnsi="Times New Roman" w:cs="Times New Roman"/>
          <w:i/>
          <w:sz w:val="20"/>
          <w:szCs w:val="20"/>
        </w:rPr>
        <w:t>et al</w:t>
      </w:r>
      <w:r>
        <w:rPr>
          <w:rFonts w:ascii="Times New Roman" w:hAnsi="Times New Roman" w:cs="Times New Roman"/>
          <w:sz w:val="20"/>
          <w:szCs w:val="20"/>
        </w:rPr>
        <w:t xml:space="preserve">., 2023) and in suspected fracture, it provides the type, exact anatomic location and nature of the fracture (Sande, 1999; Burk &amp; Feeney, 2003; Sadan </w:t>
      </w:r>
      <w:r>
        <w:rPr>
          <w:rFonts w:ascii="Times New Roman" w:hAnsi="Times New Roman" w:cs="Times New Roman"/>
          <w:i/>
          <w:sz w:val="20"/>
          <w:szCs w:val="20"/>
        </w:rPr>
        <w:t>et al</w:t>
      </w:r>
      <w:r>
        <w:rPr>
          <w:rFonts w:ascii="Times New Roman" w:hAnsi="Times New Roman" w:cs="Times New Roman"/>
          <w:sz w:val="20"/>
          <w:szCs w:val="20"/>
        </w:rPr>
        <w:t xml:space="preserve">., 2015). Post-operative radiography of fractures provide immediate vital information of the management techniques such as the reduction, alignment and implant integrity, and subsequently provide information on healing progress and complications (Burk &amp; Feeney, 2003; Fang </w:t>
      </w:r>
      <w:r>
        <w:rPr>
          <w:rFonts w:ascii="Times New Roman" w:hAnsi="Times New Roman" w:cs="Times New Roman"/>
          <w:i/>
          <w:sz w:val="20"/>
          <w:szCs w:val="20"/>
        </w:rPr>
        <w:t>et al</w:t>
      </w:r>
      <w:r>
        <w:rPr>
          <w:rFonts w:ascii="Times New Roman" w:hAnsi="Times New Roman" w:cs="Times New Roman"/>
          <w:sz w:val="20"/>
          <w:szCs w:val="20"/>
        </w:rPr>
        <w:t xml:space="preserve">., 2009; Bada </w:t>
      </w:r>
      <w:r>
        <w:rPr>
          <w:rFonts w:ascii="Times New Roman" w:hAnsi="Times New Roman" w:cs="Times New Roman"/>
          <w:i/>
          <w:sz w:val="20"/>
          <w:szCs w:val="20"/>
        </w:rPr>
        <w:t>et al</w:t>
      </w:r>
      <w:r>
        <w:rPr>
          <w:rFonts w:ascii="Times New Roman" w:hAnsi="Times New Roman" w:cs="Times New Roman"/>
          <w:sz w:val="20"/>
          <w:szCs w:val="20"/>
        </w:rPr>
        <w:t xml:space="preserve">., 2017; Roa </w:t>
      </w:r>
      <w:r>
        <w:rPr>
          <w:rFonts w:ascii="Times New Roman" w:hAnsi="Times New Roman" w:cs="Times New Roman"/>
          <w:i/>
          <w:sz w:val="20"/>
          <w:szCs w:val="20"/>
        </w:rPr>
        <w:t>et al</w:t>
      </w:r>
      <w:r>
        <w:rPr>
          <w:rFonts w:ascii="Times New Roman" w:hAnsi="Times New Roman" w:cs="Times New Roman"/>
          <w:sz w:val="20"/>
          <w:szCs w:val="20"/>
        </w:rPr>
        <w:t xml:space="preserve">., 2017; Henry &amp; Cole, 2018; Lovric </w:t>
      </w:r>
      <w:r>
        <w:rPr>
          <w:rFonts w:ascii="Times New Roman" w:hAnsi="Times New Roman" w:cs="Times New Roman"/>
          <w:i/>
          <w:sz w:val="20"/>
          <w:szCs w:val="20"/>
        </w:rPr>
        <w:t>et al</w:t>
      </w:r>
      <w:r>
        <w:rPr>
          <w:rFonts w:ascii="Times New Roman" w:hAnsi="Times New Roman" w:cs="Times New Roman"/>
          <w:sz w:val="20"/>
          <w:szCs w:val="20"/>
        </w:rPr>
        <w:t xml:space="preserve">., 2020; Aliyu </w:t>
      </w:r>
      <w:r>
        <w:rPr>
          <w:rFonts w:ascii="Times New Roman" w:hAnsi="Times New Roman" w:cs="Times New Roman"/>
          <w:i/>
          <w:sz w:val="20"/>
          <w:szCs w:val="20"/>
        </w:rPr>
        <w:t>et al</w:t>
      </w:r>
      <w:r>
        <w:rPr>
          <w:rFonts w:ascii="Times New Roman" w:hAnsi="Times New Roman" w:cs="Times New Roman"/>
          <w:sz w:val="20"/>
          <w:szCs w:val="20"/>
        </w:rPr>
        <w:t>., 2022).</w:t>
      </w:r>
    </w:p>
    <w:p w14:paraId="7182B91F">
      <w:pPr>
        <w:spacing w:after="0"/>
        <w:jc w:val="both"/>
        <w:rPr>
          <w:rFonts w:ascii="Times New Roman" w:hAnsi="Times New Roman" w:cs="Times New Roman"/>
          <w:sz w:val="20"/>
          <w:szCs w:val="20"/>
        </w:rPr>
      </w:pPr>
      <w:r>
        <w:rPr>
          <w:rFonts w:ascii="Times New Roman" w:hAnsi="Times New Roman" w:cs="Times New Roman"/>
          <w:sz w:val="20"/>
          <w:szCs w:val="20"/>
        </w:rPr>
        <w:t>Fractures are usually caused by forces that exceed the bone's tensile strength, which leads to its discontinuity (Tobias &amp; Johnston, 2012; DeCamp</w:t>
      </w:r>
      <w:r>
        <w:rPr>
          <w:rFonts w:ascii="Times New Roman" w:hAnsi="Times New Roman" w:cs="Times New Roman"/>
          <w:i/>
          <w:sz w:val="20"/>
          <w:szCs w:val="20"/>
        </w:rPr>
        <w:t xml:space="preserve"> et al., </w:t>
      </w:r>
      <w:r>
        <w:rPr>
          <w:rFonts w:ascii="Times New Roman" w:hAnsi="Times New Roman" w:cs="Times New Roman"/>
          <w:sz w:val="20"/>
          <w:szCs w:val="20"/>
        </w:rPr>
        <w:t xml:space="preserve">2016), and radiographically revealed as a radiolucent gap at the site of the fracture (Fathy </w:t>
      </w:r>
      <w:r>
        <w:rPr>
          <w:rFonts w:ascii="Times New Roman" w:hAnsi="Times New Roman" w:cs="Times New Roman"/>
          <w:i/>
          <w:sz w:val="20"/>
          <w:szCs w:val="20"/>
        </w:rPr>
        <w:t>et al</w:t>
      </w:r>
      <w:r>
        <w:rPr>
          <w:rFonts w:ascii="Times New Roman" w:hAnsi="Times New Roman" w:cs="Times New Roman"/>
          <w:sz w:val="20"/>
          <w:szCs w:val="20"/>
        </w:rPr>
        <w:t xml:space="preserve">., 2018; </w:t>
      </w:r>
      <w:r>
        <w:rPr>
          <w:rFonts w:ascii="Times New Roman" w:hAnsi="Times New Roman" w:cs="Times New Roman"/>
          <w:sz w:val="20"/>
          <w:szCs w:val="20"/>
          <w:shd w:val="clear" w:color="auto" w:fill="FFFFFF"/>
        </w:rPr>
        <w:t xml:space="preserve">Purnomo </w:t>
      </w:r>
      <w:r>
        <w:rPr>
          <w:rFonts w:ascii="Times New Roman" w:hAnsi="Times New Roman" w:cs="Times New Roman"/>
          <w:i/>
          <w:sz w:val="20"/>
          <w:szCs w:val="20"/>
          <w:shd w:val="clear" w:color="auto" w:fill="FFFFFF"/>
        </w:rPr>
        <w:t>et al</w:t>
      </w:r>
      <w:r>
        <w:rPr>
          <w:rFonts w:ascii="Times New Roman" w:hAnsi="Times New Roman" w:cs="Times New Roman"/>
          <w:sz w:val="20"/>
          <w:szCs w:val="20"/>
          <w:shd w:val="clear" w:color="auto" w:fill="FFFFFF"/>
        </w:rPr>
        <w:t xml:space="preserve">., 2022; Weniger </w:t>
      </w:r>
      <w:r>
        <w:rPr>
          <w:rFonts w:ascii="Times New Roman" w:hAnsi="Times New Roman" w:cs="Times New Roman"/>
          <w:i/>
          <w:sz w:val="20"/>
          <w:szCs w:val="20"/>
          <w:shd w:val="clear" w:color="auto" w:fill="FFFFFF"/>
        </w:rPr>
        <w:t>et al</w:t>
      </w:r>
      <w:r>
        <w:rPr>
          <w:rFonts w:ascii="Times New Roman" w:hAnsi="Times New Roman" w:cs="Times New Roman"/>
          <w:sz w:val="20"/>
          <w:szCs w:val="20"/>
          <w:shd w:val="clear" w:color="auto" w:fill="FFFFFF"/>
        </w:rPr>
        <w:t>., 2024)</w:t>
      </w:r>
      <w:r>
        <w:rPr>
          <w:rFonts w:ascii="Times New Roman" w:hAnsi="Times New Roman" w:cs="Times New Roman"/>
          <w:sz w:val="20"/>
          <w:szCs w:val="20"/>
        </w:rPr>
        <w:t xml:space="preserve">. Fractures are classified as Salter Harris, transverse, oblique, spiral, communited, greenstick, and fissure or hairline (Unger </w:t>
      </w:r>
      <w:r>
        <w:rPr>
          <w:rFonts w:ascii="Times New Roman" w:hAnsi="Times New Roman" w:cs="Times New Roman"/>
          <w:i/>
          <w:sz w:val="20"/>
          <w:szCs w:val="20"/>
        </w:rPr>
        <w:t>et al</w:t>
      </w:r>
      <w:r>
        <w:rPr>
          <w:rFonts w:ascii="Times New Roman" w:hAnsi="Times New Roman" w:cs="Times New Roman"/>
          <w:sz w:val="20"/>
          <w:szCs w:val="20"/>
        </w:rPr>
        <w:t xml:space="preserve">., 1990; </w:t>
      </w:r>
      <w:r>
        <w:rPr>
          <w:rFonts w:ascii="Times New Roman" w:hAnsi="Times New Roman" w:cs="Times New Roman"/>
          <w:sz w:val="20"/>
          <w:szCs w:val="20"/>
          <w:shd w:val="clear" w:color="auto" w:fill="FFFFFF"/>
        </w:rPr>
        <w:t xml:space="preserve">Keosengthong </w:t>
      </w:r>
      <w:r>
        <w:rPr>
          <w:rFonts w:ascii="Times New Roman" w:hAnsi="Times New Roman" w:cs="Times New Roman"/>
          <w:i/>
          <w:sz w:val="20"/>
          <w:szCs w:val="20"/>
          <w:shd w:val="clear" w:color="auto" w:fill="FFFFFF"/>
        </w:rPr>
        <w:t>et al</w:t>
      </w:r>
      <w:r>
        <w:rPr>
          <w:rFonts w:ascii="Times New Roman" w:hAnsi="Times New Roman" w:cs="Times New Roman"/>
          <w:sz w:val="20"/>
          <w:szCs w:val="20"/>
          <w:shd w:val="clear" w:color="auto" w:fill="FFFFFF"/>
        </w:rPr>
        <w:t xml:space="preserve">., 2019; Abo-Soliman </w:t>
      </w:r>
      <w:r>
        <w:rPr>
          <w:rFonts w:ascii="Times New Roman" w:hAnsi="Times New Roman" w:cs="Times New Roman"/>
          <w:i/>
          <w:sz w:val="20"/>
          <w:szCs w:val="20"/>
          <w:shd w:val="clear" w:color="auto" w:fill="FFFFFF"/>
        </w:rPr>
        <w:t>et al</w:t>
      </w:r>
      <w:r>
        <w:rPr>
          <w:rFonts w:ascii="Times New Roman" w:hAnsi="Times New Roman" w:cs="Times New Roman"/>
          <w:sz w:val="20"/>
          <w:szCs w:val="20"/>
          <w:shd w:val="clear" w:color="auto" w:fill="FFFFFF"/>
        </w:rPr>
        <w:t xml:space="preserve">., 2020; Mohan </w:t>
      </w:r>
      <w:r>
        <w:rPr>
          <w:rFonts w:ascii="Times New Roman" w:hAnsi="Times New Roman" w:cs="Times New Roman"/>
          <w:i/>
          <w:sz w:val="20"/>
          <w:szCs w:val="20"/>
          <w:shd w:val="clear" w:color="auto" w:fill="FFFFFF"/>
        </w:rPr>
        <w:t>et al</w:t>
      </w:r>
      <w:r>
        <w:rPr>
          <w:rFonts w:ascii="Times New Roman" w:hAnsi="Times New Roman" w:cs="Times New Roman"/>
          <w:sz w:val="20"/>
          <w:szCs w:val="20"/>
          <w:shd w:val="clear" w:color="auto" w:fill="FFFFFF"/>
        </w:rPr>
        <w:t>., 2024)</w:t>
      </w:r>
      <w:r>
        <w:rPr>
          <w:rFonts w:ascii="Times New Roman" w:hAnsi="Times New Roman" w:cs="Times New Roman"/>
          <w:sz w:val="20"/>
          <w:szCs w:val="20"/>
        </w:rPr>
        <w:t xml:space="preserve">. Long bones include humerus, radius and ulna, femur, and tibia and fibula (Harasen, 2003a; </w:t>
      </w:r>
      <w:r>
        <w:rPr>
          <w:rFonts w:ascii="Times New Roman" w:hAnsi="Times New Roman" w:cs="Times New Roman"/>
          <w:sz w:val="20"/>
          <w:szCs w:val="20"/>
          <w:shd w:val="clear" w:color="auto" w:fill="FFFFFF"/>
        </w:rPr>
        <w:t xml:space="preserve">Abd El Raouf </w:t>
      </w:r>
      <w:r>
        <w:rPr>
          <w:rFonts w:ascii="Times New Roman" w:hAnsi="Times New Roman" w:cs="Times New Roman"/>
          <w:i/>
          <w:sz w:val="20"/>
          <w:szCs w:val="20"/>
          <w:shd w:val="clear" w:color="auto" w:fill="FFFFFF"/>
        </w:rPr>
        <w:t>et al</w:t>
      </w:r>
      <w:r>
        <w:rPr>
          <w:rFonts w:ascii="Times New Roman" w:hAnsi="Times New Roman" w:cs="Times New Roman"/>
          <w:sz w:val="20"/>
          <w:szCs w:val="20"/>
          <w:shd w:val="clear" w:color="auto" w:fill="FFFFFF"/>
        </w:rPr>
        <w:t>., 2019)</w:t>
      </w:r>
      <w:r>
        <w:rPr>
          <w:rFonts w:ascii="Times New Roman" w:hAnsi="Times New Roman" w:cs="Times New Roman"/>
          <w:sz w:val="20"/>
          <w:szCs w:val="20"/>
        </w:rPr>
        <w:t>, which each are divided into epiphysis, physis, metaphysis, and diaphysis (</w:t>
      </w:r>
      <w:r>
        <w:rPr>
          <w:rFonts w:ascii="Times New Roman" w:hAnsi="Times New Roman" w:cs="Times New Roman"/>
          <w:sz w:val="20"/>
          <w:szCs w:val="20"/>
          <w:shd w:val="clear" w:color="auto" w:fill="FFFFFF"/>
        </w:rPr>
        <w:t xml:space="preserve">Markel </w:t>
      </w:r>
      <w:r>
        <w:rPr>
          <w:rFonts w:ascii="Times New Roman" w:hAnsi="Times New Roman" w:cs="Times New Roman"/>
          <w:i/>
          <w:sz w:val="20"/>
          <w:szCs w:val="20"/>
          <w:shd w:val="clear" w:color="auto" w:fill="FFFFFF"/>
        </w:rPr>
        <w:t>et al</w:t>
      </w:r>
      <w:r>
        <w:rPr>
          <w:rFonts w:ascii="Times New Roman" w:hAnsi="Times New Roman" w:cs="Times New Roman"/>
          <w:sz w:val="20"/>
          <w:szCs w:val="20"/>
          <w:shd w:val="clear" w:color="auto" w:fill="FFFFFF"/>
        </w:rPr>
        <w:t xml:space="preserve">., 1994; </w:t>
      </w:r>
      <w:r>
        <w:rPr>
          <w:rFonts w:ascii="Times New Roman" w:hAnsi="Times New Roman" w:cs="Times New Roman"/>
          <w:sz w:val="20"/>
          <w:szCs w:val="20"/>
        </w:rPr>
        <w:t>Zachary and McGavin, 2012). Survey radiographic examinations assist in ascertaining the specific fracture type and the anatomic location of the fracture, necessary in the selection of tools and implants for management (</w:t>
      </w:r>
      <w:r>
        <w:rPr>
          <w:rFonts w:ascii="Times New Roman" w:hAnsi="Times New Roman" w:cs="Times New Roman"/>
          <w:sz w:val="20"/>
          <w:szCs w:val="20"/>
          <w:shd w:val="clear" w:color="auto" w:fill="FFFFFF"/>
        </w:rPr>
        <w:t xml:space="preserve">Mohan </w:t>
      </w:r>
      <w:r>
        <w:rPr>
          <w:rFonts w:ascii="Times New Roman" w:hAnsi="Times New Roman" w:cs="Times New Roman"/>
          <w:i/>
          <w:sz w:val="20"/>
          <w:szCs w:val="20"/>
          <w:shd w:val="clear" w:color="auto" w:fill="FFFFFF"/>
        </w:rPr>
        <w:t>et al</w:t>
      </w:r>
      <w:r>
        <w:rPr>
          <w:rFonts w:ascii="Times New Roman" w:hAnsi="Times New Roman" w:cs="Times New Roman"/>
          <w:sz w:val="20"/>
          <w:szCs w:val="20"/>
          <w:shd w:val="clear" w:color="auto" w:fill="FFFFFF"/>
        </w:rPr>
        <w:t>., 2024)</w:t>
      </w:r>
      <w:r>
        <w:rPr>
          <w:rFonts w:ascii="Times New Roman" w:hAnsi="Times New Roman" w:cs="Times New Roman"/>
          <w:sz w:val="20"/>
          <w:szCs w:val="20"/>
        </w:rPr>
        <w:t>.</w:t>
      </w:r>
    </w:p>
    <w:p w14:paraId="5B6CF22A">
      <w:pPr>
        <w:spacing w:after="0"/>
        <w:jc w:val="both"/>
        <w:rPr>
          <w:rFonts w:ascii="Times New Roman" w:hAnsi="Times New Roman" w:cs="Times New Roman"/>
          <w:sz w:val="20"/>
          <w:szCs w:val="20"/>
        </w:rPr>
      </w:pPr>
      <w:r>
        <w:rPr>
          <w:rFonts w:ascii="Times New Roman" w:hAnsi="Times New Roman" w:cs="Times New Roman"/>
          <w:sz w:val="20"/>
          <w:szCs w:val="20"/>
        </w:rPr>
        <w:t xml:space="preserve">Post-operative radiography reveals early signs of imminent complications such as limb angulation, limb shortening, and bone infection (Rovesti </w:t>
      </w:r>
      <w:r>
        <w:rPr>
          <w:rFonts w:ascii="Times New Roman" w:hAnsi="Times New Roman" w:cs="Times New Roman"/>
          <w:i/>
          <w:sz w:val="20"/>
          <w:szCs w:val="20"/>
        </w:rPr>
        <w:t>et al</w:t>
      </w:r>
      <w:r>
        <w:rPr>
          <w:rFonts w:ascii="Times New Roman" w:hAnsi="Times New Roman" w:cs="Times New Roman"/>
          <w:sz w:val="20"/>
          <w:szCs w:val="20"/>
        </w:rPr>
        <w:t xml:space="preserve">., 2009). Postoperative radiography could reveal failed internal fixations which may lead to reoperation due to non-union or implant failure. These may result to undesirable consequences promoting high post-operative morbidity and cost implications (Tihonen </w:t>
      </w:r>
      <w:r>
        <w:rPr>
          <w:rFonts w:ascii="Times New Roman" w:hAnsi="Times New Roman" w:cs="Times New Roman"/>
          <w:i/>
          <w:iCs/>
          <w:sz w:val="20"/>
          <w:szCs w:val="20"/>
        </w:rPr>
        <w:t>et al.,</w:t>
      </w:r>
      <w:r>
        <w:rPr>
          <w:rFonts w:ascii="Times New Roman" w:hAnsi="Times New Roman" w:cs="Times New Roman"/>
          <w:sz w:val="20"/>
          <w:szCs w:val="20"/>
        </w:rPr>
        <w:t xml:space="preserve"> 2019). Therefore, there is need to emphasize the clinical relevance of survey and post-operative radiographic evaluation in orthopaedic management. This study was aimed to radiographically determine the incidence of long bones fractures and their post-operative assessment in dogs presented to the Veterinary Teaching Hospital, Ahmadu Bel</w:t>
      </w:r>
      <w:r>
        <w:rPr>
          <w:rFonts w:ascii="Times New Roman" w:hAnsi="Times New Roman" w:cs="Times New Roman"/>
          <w:sz w:val="20"/>
          <w:szCs w:val="20"/>
          <w:lang w:val="en-US"/>
        </w:rPr>
        <w:t>l</w:t>
      </w:r>
      <w:r>
        <w:rPr>
          <w:rFonts w:ascii="Times New Roman" w:hAnsi="Times New Roman" w:cs="Times New Roman"/>
          <w:sz w:val="20"/>
          <w:szCs w:val="20"/>
        </w:rPr>
        <w:t>o University Zaria, from 2019 to 2024.</w:t>
      </w:r>
    </w:p>
    <w:p w14:paraId="4EC3AFFC">
      <w:pPr>
        <w:spacing w:after="0"/>
        <w:jc w:val="both"/>
        <w:rPr>
          <w:rFonts w:ascii="Times New Roman" w:hAnsi="Times New Roman" w:cs="Times New Roman"/>
          <w:sz w:val="20"/>
          <w:szCs w:val="20"/>
        </w:rPr>
      </w:pPr>
    </w:p>
    <w:p w14:paraId="0120C785">
      <w:pPr>
        <w:spacing w:after="0"/>
        <w:rPr>
          <w:rFonts w:ascii="Times New Roman" w:hAnsi="Times New Roman" w:cs="Times New Roman"/>
          <w:b/>
          <w:bCs/>
          <w:sz w:val="20"/>
          <w:szCs w:val="20"/>
        </w:rPr>
      </w:pPr>
      <w:r>
        <w:rPr>
          <w:rFonts w:ascii="Times New Roman" w:hAnsi="Times New Roman" w:cs="Times New Roman"/>
          <w:b/>
          <w:bCs/>
          <w:sz w:val="20"/>
          <w:szCs w:val="20"/>
        </w:rPr>
        <w:t>MATERIALS AND METHODS</w:t>
      </w:r>
    </w:p>
    <w:p w14:paraId="2C00537A">
      <w:pPr>
        <w:spacing w:after="0"/>
        <w:rPr>
          <w:rFonts w:ascii="Times New Roman" w:hAnsi="Times New Roman" w:cs="Times New Roman"/>
          <w:b/>
          <w:bCs/>
          <w:sz w:val="20"/>
          <w:szCs w:val="20"/>
        </w:rPr>
      </w:pPr>
      <w:r>
        <w:rPr>
          <w:rFonts w:ascii="Times New Roman" w:hAnsi="Times New Roman" w:cs="Times New Roman"/>
          <w:b/>
          <w:bCs/>
          <w:sz w:val="20"/>
          <w:szCs w:val="20"/>
        </w:rPr>
        <w:t>STUDY DESIGN</w:t>
      </w:r>
    </w:p>
    <w:p w14:paraId="46EDE8A3">
      <w:pPr>
        <w:spacing w:after="0"/>
        <w:jc w:val="both"/>
        <w:rPr>
          <w:rFonts w:ascii="Times New Roman" w:hAnsi="Times New Roman" w:cs="Times New Roman"/>
          <w:sz w:val="20"/>
          <w:szCs w:val="20"/>
        </w:rPr>
      </w:pPr>
      <w:r>
        <w:rPr>
          <w:rFonts w:ascii="Times New Roman" w:hAnsi="Times New Roman" w:cs="Times New Roman"/>
          <w:sz w:val="20"/>
          <w:szCs w:val="20"/>
        </w:rPr>
        <w:t xml:space="preserve">A total of one hundred and thirty five (135) radiographs of long bone defects of dogs </w:t>
      </w:r>
      <w:r>
        <w:rPr>
          <w:rFonts w:ascii="Times New Roman" w:hAnsi="Times New Roman" w:cs="Times New Roman"/>
          <w:bCs/>
          <w:sz w:val="20"/>
          <w:szCs w:val="20"/>
        </w:rPr>
        <w:t xml:space="preserve">presented to the </w:t>
      </w:r>
      <w:r>
        <w:rPr>
          <w:rFonts w:ascii="Times New Roman" w:hAnsi="Times New Roman" w:cs="Times New Roman"/>
          <w:sz w:val="20"/>
          <w:szCs w:val="20"/>
        </w:rPr>
        <w:t xml:space="preserve">Veterinary Teaching Hospital, Ahmadu Bello University, Zaria were evaluated for the study, out of which </w:t>
      </w:r>
      <w:r>
        <w:rPr>
          <w:rFonts w:ascii="Times New Roman" w:hAnsi="Times New Roman" w:cs="Times New Roman"/>
          <w:bCs/>
          <w:sz w:val="20"/>
          <w:szCs w:val="20"/>
        </w:rPr>
        <w:t xml:space="preserve">one hundred and five (105) were survey and post-operative radiographs of long bone fractures. Radiographs were selected based on being diagnostic enough and free from artefacts. They were evaluated for types of fractures, </w:t>
      </w:r>
      <w:r>
        <w:rPr>
          <w:rFonts w:ascii="Times New Roman" w:hAnsi="Times New Roman" w:cs="Times New Roman"/>
          <w:sz w:val="20"/>
          <w:szCs w:val="20"/>
        </w:rPr>
        <w:t>reduction techniques, alignment, and the integrity of the implants.</w:t>
      </w:r>
    </w:p>
    <w:p w14:paraId="17DC8EBA">
      <w:pPr>
        <w:spacing w:after="0"/>
        <w:jc w:val="both"/>
        <w:rPr>
          <w:rFonts w:ascii="Times New Roman" w:hAnsi="Times New Roman" w:cs="Times New Roman"/>
          <w:bCs/>
          <w:sz w:val="20"/>
          <w:szCs w:val="20"/>
        </w:rPr>
      </w:pPr>
    </w:p>
    <w:p w14:paraId="558351CA">
      <w:pPr>
        <w:spacing w:after="0"/>
        <w:rPr>
          <w:rFonts w:ascii="Times New Roman" w:hAnsi="Times New Roman" w:cs="Times New Roman"/>
          <w:b/>
          <w:bCs/>
          <w:sz w:val="20"/>
          <w:szCs w:val="20"/>
        </w:rPr>
      </w:pPr>
      <w:r>
        <w:rPr>
          <w:rFonts w:ascii="Times New Roman" w:hAnsi="Times New Roman" w:cs="Times New Roman"/>
          <w:b/>
          <w:bCs/>
          <w:sz w:val="20"/>
          <w:szCs w:val="20"/>
        </w:rPr>
        <w:t>METHOD</w:t>
      </w:r>
    </w:p>
    <w:p w14:paraId="1FA2CD43">
      <w:pPr>
        <w:spacing w:after="0"/>
        <w:jc w:val="both"/>
        <w:rPr>
          <w:rFonts w:ascii="Times New Roman" w:hAnsi="Times New Roman" w:cs="Times New Roman"/>
          <w:sz w:val="20"/>
          <w:szCs w:val="20"/>
        </w:rPr>
      </w:pPr>
      <w:r>
        <w:rPr>
          <w:rFonts w:ascii="Times New Roman" w:hAnsi="Times New Roman" w:cs="Times New Roman"/>
          <w:sz w:val="20"/>
          <w:szCs w:val="20"/>
        </w:rPr>
        <w:t>Radiographs were interpreted in a systematic manner and</w:t>
      </w:r>
      <w:r>
        <w:rPr>
          <w:rFonts w:ascii="Times New Roman" w:hAnsi="Times New Roman" w:cs="Times New Roman"/>
          <w:sz w:val="20"/>
          <w:szCs w:val="20"/>
          <w:lang w:val="en-US"/>
        </w:rPr>
        <w:t xml:space="preserve"> </w:t>
      </w:r>
      <w:r>
        <w:rPr>
          <w:rFonts w:ascii="Times New Roman" w:hAnsi="Times New Roman" w:cs="Times New Roman"/>
          <w:sz w:val="20"/>
          <w:szCs w:val="20"/>
        </w:rPr>
        <w:t>maximum information were extracted from the entire radiographs. Anatomical landmarks of the limbs helped in the identification of the views that served as guide in their placement.</w:t>
      </w:r>
    </w:p>
    <w:p w14:paraId="1DE516E0">
      <w:pPr>
        <w:spacing w:after="0"/>
        <w:jc w:val="both"/>
        <w:rPr>
          <w:rFonts w:ascii="Times New Roman" w:hAnsi="Times New Roman" w:cs="Times New Roman"/>
          <w:sz w:val="20"/>
          <w:szCs w:val="20"/>
        </w:rPr>
      </w:pPr>
    </w:p>
    <w:p w14:paraId="5F5777FD">
      <w:pPr>
        <w:spacing w:after="0"/>
        <w:jc w:val="both"/>
        <w:rPr>
          <w:rFonts w:ascii="Times New Roman" w:hAnsi="Times New Roman" w:cs="Times New Roman"/>
          <w:b/>
          <w:sz w:val="20"/>
          <w:szCs w:val="20"/>
        </w:rPr>
      </w:pPr>
      <w:r>
        <w:rPr>
          <w:rFonts w:ascii="Times New Roman" w:hAnsi="Times New Roman" w:cs="Times New Roman"/>
          <w:b/>
          <w:sz w:val="20"/>
          <w:szCs w:val="20"/>
        </w:rPr>
        <w:t>PLACEMENT OF THE RADIOGRAPHS ON THE VIEWING BOX</w:t>
      </w:r>
    </w:p>
    <w:p w14:paraId="7055F330">
      <w:pPr>
        <w:spacing w:after="0"/>
        <w:jc w:val="both"/>
        <w:rPr>
          <w:rFonts w:ascii="Times New Roman" w:hAnsi="Times New Roman" w:cs="Times New Roman"/>
          <w:sz w:val="20"/>
          <w:szCs w:val="20"/>
        </w:rPr>
      </w:pPr>
      <w:r>
        <w:rPr>
          <w:rFonts w:ascii="Times New Roman" w:hAnsi="Times New Roman" w:cs="Times New Roman"/>
          <w:sz w:val="20"/>
          <w:szCs w:val="20"/>
        </w:rPr>
        <w:t>For craniocaudal view radiographs, the proximal aspects of the long bone were placed uppermost. For mediolateral view radiographs, the proximal aspect of the long bones was placed uppermost, while the cranial aspect of the long bones was placed towards the viewer left hand side.</w:t>
      </w:r>
    </w:p>
    <w:p w14:paraId="0D39DFA7">
      <w:pPr>
        <w:spacing w:after="0"/>
        <w:jc w:val="both"/>
        <w:rPr>
          <w:rFonts w:ascii="Times New Roman" w:hAnsi="Times New Roman" w:cs="Times New Roman"/>
          <w:sz w:val="20"/>
          <w:szCs w:val="20"/>
        </w:rPr>
      </w:pPr>
    </w:p>
    <w:p w14:paraId="0A45EC3A">
      <w:pPr>
        <w:spacing w:after="0"/>
        <w:jc w:val="both"/>
        <w:rPr>
          <w:rFonts w:ascii="Times New Roman" w:hAnsi="Times New Roman" w:cs="Times New Roman"/>
          <w:b/>
          <w:sz w:val="20"/>
          <w:szCs w:val="20"/>
        </w:rPr>
      </w:pPr>
      <w:r>
        <w:rPr>
          <w:rFonts w:ascii="Times New Roman" w:hAnsi="Times New Roman" w:cs="Times New Roman"/>
          <w:b/>
          <w:sz w:val="20"/>
          <w:szCs w:val="20"/>
        </w:rPr>
        <w:t>INTERPRETATION OF THE RADIOGRAPHS</w:t>
      </w:r>
    </w:p>
    <w:p w14:paraId="24993FBB">
      <w:pPr>
        <w:spacing w:after="0"/>
        <w:jc w:val="both"/>
        <w:rPr>
          <w:rFonts w:ascii="Times New Roman" w:hAnsi="Times New Roman" w:cs="Times New Roman"/>
          <w:sz w:val="20"/>
          <w:szCs w:val="20"/>
        </w:rPr>
      </w:pPr>
      <w:r>
        <w:rPr>
          <w:rFonts w:ascii="Times New Roman" w:hAnsi="Times New Roman" w:cs="Times New Roman"/>
          <w:sz w:val="20"/>
          <w:szCs w:val="20"/>
        </w:rPr>
        <w:t>Survey radiographs were evaluated for radiolucent gap of bone discontinuity, the nature of the lesion, and the anatomic location of the abnormality on the long bones.</w:t>
      </w:r>
    </w:p>
    <w:p w14:paraId="7A5E3F2B">
      <w:pPr>
        <w:jc w:val="both"/>
        <w:rPr>
          <w:rFonts w:ascii="Times New Roman" w:hAnsi="Times New Roman" w:cs="Times New Roman"/>
          <w:sz w:val="20"/>
          <w:szCs w:val="20"/>
        </w:rPr>
      </w:pPr>
      <w:r>
        <w:rPr>
          <w:rFonts w:ascii="Times New Roman" w:hAnsi="Times New Roman" w:cs="Times New Roman"/>
          <w:sz w:val="20"/>
          <w:szCs w:val="20"/>
        </w:rPr>
        <w:t xml:space="preserve">Post-operative radiographs were evaluated based on the reduction techniques. The alignment for each technique was evaluated considering Rovesti </w:t>
      </w:r>
      <w:r>
        <w:rPr>
          <w:rFonts w:ascii="Times New Roman" w:hAnsi="Times New Roman" w:cs="Times New Roman"/>
          <w:i/>
          <w:sz w:val="20"/>
          <w:szCs w:val="20"/>
        </w:rPr>
        <w:t>et al</w:t>
      </w:r>
      <w:r>
        <w:rPr>
          <w:rFonts w:ascii="Times New Roman" w:hAnsi="Times New Roman" w:cs="Times New Roman"/>
          <w:sz w:val="20"/>
          <w:szCs w:val="20"/>
        </w:rPr>
        <w:t>. (2009) method on a scale of grade 0 – III. Grade 0 (excellent alignment) represented radiograph with an almost equal parallel fracture segments without any angle of deviation less than 5</w:t>
      </w:r>
      <w:r>
        <w:rPr>
          <w:rFonts w:ascii="Times New Roman" w:hAnsi="Times New Roman" w:cs="Times New Roman"/>
          <w:sz w:val="20"/>
          <w:szCs w:val="20"/>
          <w:vertAlign w:val="superscript"/>
        </w:rPr>
        <w:t>o</w:t>
      </w:r>
      <w:r>
        <w:rPr>
          <w:rFonts w:ascii="Times New Roman" w:hAnsi="Times New Roman" w:cs="Times New Roman"/>
          <w:sz w:val="20"/>
          <w:szCs w:val="20"/>
        </w:rPr>
        <w:t xml:space="preserve"> formed by the fracture segments; grade I(good alignment) represented radiograph in which  there was angle of deviation from 5</w:t>
      </w:r>
      <w:r>
        <w:rPr>
          <w:rFonts w:ascii="Times New Roman" w:hAnsi="Times New Roman" w:cs="Times New Roman"/>
          <w:sz w:val="20"/>
          <w:szCs w:val="20"/>
          <w:vertAlign w:val="superscript"/>
        </w:rPr>
        <w:t xml:space="preserve">o </w:t>
      </w:r>
      <w:r>
        <w:rPr>
          <w:rFonts w:ascii="Times New Roman" w:hAnsi="Times New Roman" w:cs="Times New Roman"/>
          <w:sz w:val="20"/>
          <w:szCs w:val="20"/>
        </w:rPr>
        <w:t>- 10</w:t>
      </w:r>
      <w:r>
        <w:rPr>
          <w:rFonts w:ascii="Times New Roman" w:hAnsi="Times New Roman" w:cs="Times New Roman"/>
          <w:sz w:val="20"/>
          <w:szCs w:val="20"/>
          <w:vertAlign w:val="superscript"/>
        </w:rPr>
        <w:t>o</w:t>
      </w:r>
      <w:r>
        <w:rPr>
          <w:rFonts w:ascii="Times New Roman" w:hAnsi="Times New Roman" w:cs="Times New Roman"/>
          <w:sz w:val="20"/>
          <w:szCs w:val="20"/>
        </w:rPr>
        <w:t xml:space="preserve"> formed by the fracture segments; grade II (fair alignment) represented radiograph in which  there was</w:t>
      </w:r>
      <w:r>
        <w:rPr>
          <w:rFonts w:ascii="Times New Roman" w:hAnsi="Times New Roman" w:cs="Times New Roman"/>
          <w:sz w:val="20"/>
          <w:szCs w:val="20"/>
          <w:lang w:val="en-US"/>
        </w:rPr>
        <w:t xml:space="preserve"> </w:t>
      </w:r>
      <w:r>
        <w:rPr>
          <w:rFonts w:ascii="Times New Roman" w:hAnsi="Times New Roman" w:cs="Times New Roman"/>
          <w:sz w:val="20"/>
          <w:szCs w:val="20"/>
        </w:rPr>
        <w:t>angle of deviation from 10</w:t>
      </w:r>
      <w:r>
        <w:rPr>
          <w:rFonts w:ascii="Times New Roman" w:hAnsi="Times New Roman" w:cs="Times New Roman"/>
          <w:sz w:val="20"/>
          <w:szCs w:val="20"/>
          <w:vertAlign w:val="superscript"/>
        </w:rPr>
        <w:t xml:space="preserve">o </w:t>
      </w:r>
      <w:r>
        <w:rPr>
          <w:rFonts w:ascii="Times New Roman" w:hAnsi="Times New Roman" w:cs="Times New Roman"/>
          <w:sz w:val="20"/>
          <w:szCs w:val="20"/>
        </w:rPr>
        <w:t>- 30</w:t>
      </w:r>
      <w:r>
        <w:rPr>
          <w:rFonts w:ascii="Times New Roman" w:hAnsi="Times New Roman" w:cs="Times New Roman"/>
          <w:sz w:val="20"/>
          <w:szCs w:val="20"/>
          <w:vertAlign w:val="superscript"/>
        </w:rPr>
        <w:t>o</w:t>
      </w:r>
      <w:r>
        <w:rPr>
          <w:rFonts w:ascii="Times New Roman" w:hAnsi="Times New Roman" w:cs="Times New Roman"/>
          <w:sz w:val="20"/>
          <w:szCs w:val="20"/>
        </w:rPr>
        <w:t xml:space="preserve"> formed by the fracture segments;  grade III (poor alignment) represented radiograph in which there was angle of deviation above 30</w:t>
      </w:r>
      <w:r>
        <w:rPr>
          <w:rFonts w:ascii="Times New Roman" w:hAnsi="Times New Roman" w:cs="Times New Roman"/>
          <w:sz w:val="20"/>
          <w:szCs w:val="20"/>
          <w:vertAlign w:val="superscript"/>
        </w:rPr>
        <w:t xml:space="preserve">o </w:t>
      </w:r>
      <w:r>
        <w:rPr>
          <w:rFonts w:ascii="Times New Roman" w:hAnsi="Times New Roman" w:cs="Times New Roman"/>
          <w:sz w:val="20"/>
          <w:szCs w:val="20"/>
        </w:rPr>
        <w:t>formed by the fracture segments.</w:t>
      </w:r>
    </w:p>
    <w:p w14:paraId="62E18E50">
      <w:pPr>
        <w:spacing w:after="0"/>
        <w:jc w:val="both"/>
        <w:rPr>
          <w:rFonts w:ascii="Times New Roman" w:hAnsi="Times New Roman" w:cs="Times New Roman"/>
          <w:b/>
          <w:sz w:val="20"/>
          <w:szCs w:val="20"/>
        </w:rPr>
      </w:pPr>
      <w:r>
        <w:rPr>
          <w:rFonts w:ascii="Times New Roman" w:hAnsi="Times New Roman" w:cs="Times New Roman"/>
          <w:b/>
          <w:sz w:val="20"/>
          <w:szCs w:val="20"/>
        </w:rPr>
        <w:t>STATISTICAL ANALYSIS</w:t>
      </w:r>
    </w:p>
    <w:p w14:paraId="7787E371">
      <w:pPr>
        <w:spacing w:after="0"/>
        <w:jc w:val="both"/>
        <w:rPr>
          <w:rFonts w:ascii="Times New Roman" w:hAnsi="Times New Roman" w:cs="Times New Roman"/>
          <w:iCs/>
          <w:sz w:val="20"/>
          <w:szCs w:val="20"/>
          <w:shd w:val="clear" w:color="auto" w:fill="FFFFFF"/>
        </w:rPr>
      </w:pPr>
      <w:r>
        <w:rPr>
          <w:rFonts w:ascii="Times New Roman" w:hAnsi="Times New Roman" w:cs="Times New Roman"/>
          <w:sz w:val="20"/>
          <w:szCs w:val="20"/>
        </w:rPr>
        <w:t xml:space="preserve">The data obtained from this study was presented in Tables and Figures. Chi-square test was used to evaluate the distribution probability of the different types of long bone fractures. </w:t>
      </w:r>
      <w:r>
        <w:rPr>
          <w:rFonts w:ascii="Times New Roman" w:hAnsi="Times New Roman" w:cs="Times New Roman"/>
          <w:sz w:val="20"/>
          <w:szCs w:val="20"/>
          <w:shd w:val="clear" w:color="auto" w:fill="FFFFFF"/>
        </w:rPr>
        <w:t>The Kruskal-Wallis and Mann-Whitney tests were used to evaluate variations in alignment grades of </w:t>
      </w:r>
      <w:r>
        <w:rPr>
          <w:rFonts w:ascii="Times New Roman" w:hAnsi="Times New Roman" w:cs="Times New Roman"/>
          <w:iCs/>
          <w:sz w:val="20"/>
          <w:szCs w:val="20"/>
          <w:shd w:val="clear" w:color="auto" w:fill="FFFFFF"/>
        </w:rPr>
        <w:t>open and closed reduction techniques respectively.</w:t>
      </w:r>
    </w:p>
    <w:p w14:paraId="3E372D30">
      <w:pPr>
        <w:spacing w:after="0"/>
        <w:jc w:val="both"/>
        <w:rPr>
          <w:rFonts w:ascii="Times New Roman" w:hAnsi="Times New Roman" w:cs="Times New Roman"/>
          <w:sz w:val="20"/>
          <w:szCs w:val="20"/>
        </w:rPr>
      </w:pPr>
    </w:p>
    <w:p w14:paraId="22498E3F">
      <w:pPr>
        <w:spacing w:after="0"/>
        <w:jc w:val="both"/>
        <w:rPr>
          <w:rFonts w:ascii="Times New Roman" w:hAnsi="Times New Roman" w:cs="Times New Roman"/>
          <w:b/>
          <w:sz w:val="20"/>
          <w:szCs w:val="20"/>
        </w:rPr>
      </w:pPr>
      <w:r>
        <w:rPr>
          <w:rFonts w:ascii="Times New Roman" w:hAnsi="Times New Roman" w:cs="Times New Roman"/>
          <w:b/>
          <w:sz w:val="20"/>
          <w:szCs w:val="20"/>
        </w:rPr>
        <w:t>RESULTS</w:t>
      </w:r>
    </w:p>
    <w:p w14:paraId="65E20E57">
      <w:pPr>
        <w:spacing w:after="0"/>
        <w:rPr>
          <w:rFonts w:ascii="Times New Roman" w:hAnsi="Times New Roman" w:cs="Times New Roman"/>
          <w:b/>
          <w:bCs/>
          <w:sz w:val="20"/>
          <w:szCs w:val="20"/>
        </w:rPr>
      </w:pPr>
      <w:r>
        <w:rPr>
          <w:rFonts w:ascii="Times New Roman" w:hAnsi="Times New Roman" w:cs="Times New Roman"/>
          <w:b/>
          <w:bCs/>
          <w:sz w:val="20"/>
          <w:szCs w:val="20"/>
        </w:rPr>
        <w:t>FRACTURES OF LONG BONES IN DOGS</w:t>
      </w:r>
    </w:p>
    <w:p w14:paraId="40FA0336">
      <w:pPr>
        <w:spacing w:after="0"/>
        <w:jc w:val="both"/>
        <w:rPr>
          <w:rFonts w:ascii="Times New Roman" w:hAnsi="Times New Roman" w:cs="Times New Roman"/>
          <w:sz w:val="20"/>
          <w:szCs w:val="20"/>
        </w:rPr>
      </w:pPr>
      <w:r>
        <w:rPr>
          <w:rFonts w:ascii="Times New Roman" w:hAnsi="Times New Roman" w:cs="Times New Roman"/>
          <w:sz w:val="20"/>
          <w:szCs w:val="20"/>
        </w:rPr>
        <w:t>The long bone fractures evaluated were 63 transverse (60.00%), 27 oblique (25.71%), 10 comminuted (9.52%) and 5Salter Harris (4.76%) fractures as shown in Table I. These fractures occurred in41 femur (39.05%), 40 tibio-fibula (38.10%), 16 radius and ulna (15.24%), and 8 humerus (7.62%) as shown in Table II.</w:t>
      </w:r>
    </w:p>
    <w:p w14:paraId="52C39323">
      <w:pPr>
        <w:jc w:val="both"/>
        <w:rPr>
          <w:rFonts w:ascii="Times New Roman" w:hAnsi="Times New Roman" w:cs="Times New Roman"/>
          <w:sz w:val="20"/>
          <w:szCs w:val="20"/>
        </w:rPr>
      </w:pPr>
    </w:p>
    <w:p w14:paraId="5CEEB12B">
      <w:pPr>
        <w:jc w:val="both"/>
        <w:rPr>
          <w:rFonts w:ascii="Times New Roman" w:hAnsi="Times New Roman" w:cs="Times New Roman"/>
          <w:sz w:val="20"/>
          <w:szCs w:val="20"/>
        </w:rPr>
      </w:pPr>
    </w:p>
    <w:p w14:paraId="1012D4E6">
      <w:pPr>
        <w:jc w:val="both"/>
        <w:rPr>
          <w:rFonts w:ascii="Times New Roman" w:hAnsi="Times New Roman" w:cs="Times New Roman"/>
          <w:sz w:val="20"/>
          <w:szCs w:val="20"/>
        </w:rPr>
      </w:pPr>
    </w:p>
    <w:p w14:paraId="4B47BE1B">
      <w:pPr>
        <w:jc w:val="both"/>
        <w:rPr>
          <w:rFonts w:ascii="Times New Roman" w:hAnsi="Times New Roman" w:cs="Times New Roman"/>
          <w:sz w:val="20"/>
          <w:szCs w:val="20"/>
        </w:rPr>
      </w:pPr>
    </w:p>
    <w:tbl>
      <w:tblPr>
        <w:tblStyle w:val="3"/>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21"/>
        <w:gridCol w:w="1229"/>
        <w:gridCol w:w="1207"/>
        <w:gridCol w:w="1375"/>
      </w:tblGrid>
      <w:tr w14:paraId="76A44A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132" w:type="dxa"/>
            <w:gridSpan w:val="4"/>
            <w:tcBorders>
              <w:top w:val="nil"/>
              <w:bottom w:val="single" w:color="auto" w:sz="4" w:space="0"/>
            </w:tcBorders>
          </w:tcPr>
          <w:p w14:paraId="30C65463">
            <w:pPr>
              <w:spacing w:after="0"/>
              <w:jc w:val="both"/>
              <w:rPr>
                <w:rFonts w:ascii="Times New Roman" w:hAnsi="Times New Roman" w:cs="Times New Roman"/>
                <w:b/>
                <w:sz w:val="20"/>
                <w:szCs w:val="20"/>
              </w:rPr>
            </w:pPr>
            <w:r>
              <w:rPr>
                <w:rFonts w:ascii="Times New Roman" w:hAnsi="Times New Roman" w:cs="Times New Roman"/>
                <w:b/>
                <w:bCs/>
                <w:sz w:val="20"/>
                <w:szCs w:val="20"/>
              </w:rPr>
              <w:t>TABLE I</w:t>
            </w:r>
            <w:r>
              <w:rPr>
                <w:rFonts w:ascii="Times New Roman" w:hAnsi="Times New Roman" w:cs="Times New Roman"/>
                <w:b/>
                <w:sz w:val="20"/>
                <w:szCs w:val="20"/>
              </w:rPr>
              <w:t>: TYPES OF LONG BONE FRACTURES OBSERVED IN THIS STUDY</w:t>
            </w:r>
          </w:p>
        </w:tc>
      </w:tr>
      <w:tr w14:paraId="7A4394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1" w:type="dxa"/>
            <w:tcBorders>
              <w:top w:val="single" w:color="auto" w:sz="4" w:space="0"/>
              <w:bottom w:val="single" w:color="auto" w:sz="4" w:space="0"/>
            </w:tcBorders>
          </w:tcPr>
          <w:p w14:paraId="1A75B762">
            <w:pPr>
              <w:spacing w:line="240" w:lineRule="auto"/>
              <w:jc w:val="both"/>
              <w:rPr>
                <w:rFonts w:ascii="Times New Roman" w:hAnsi="Times New Roman" w:cs="Times New Roman"/>
                <w:b/>
                <w:sz w:val="20"/>
                <w:szCs w:val="20"/>
              </w:rPr>
            </w:pPr>
            <w:r>
              <w:rPr>
                <w:rFonts w:ascii="Times New Roman" w:hAnsi="Times New Roman" w:cs="Times New Roman"/>
                <w:b/>
                <w:sz w:val="20"/>
                <w:szCs w:val="20"/>
              </w:rPr>
              <w:t>Fracture type</w:t>
            </w:r>
          </w:p>
        </w:tc>
        <w:tc>
          <w:tcPr>
            <w:tcW w:w="1229" w:type="dxa"/>
            <w:tcBorders>
              <w:top w:val="single" w:color="auto" w:sz="4" w:space="0"/>
              <w:bottom w:val="single" w:color="auto" w:sz="4" w:space="0"/>
            </w:tcBorders>
          </w:tcPr>
          <w:p w14:paraId="6CBF3B8B">
            <w:pPr>
              <w:spacing w:line="240" w:lineRule="auto"/>
              <w:jc w:val="both"/>
              <w:rPr>
                <w:rFonts w:ascii="Times New Roman" w:hAnsi="Times New Roman" w:cs="Times New Roman"/>
                <w:b/>
                <w:sz w:val="20"/>
                <w:szCs w:val="20"/>
              </w:rPr>
            </w:pPr>
            <w:r>
              <w:rPr>
                <w:rFonts w:ascii="Times New Roman" w:hAnsi="Times New Roman" w:cs="Times New Roman"/>
                <w:b/>
                <w:sz w:val="20"/>
                <w:szCs w:val="20"/>
              </w:rPr>
              <w:t>Occurrence (n)</w:t>
            </w:r>
          </w:p>
        </w:tc>
        <w:tc>
          <w:tcPr>
            <w:tcW w:w="1207" w:type="dxa"/>
            <w:tcBorders>
              <w:top w:val="single" w:color="auto" w:sz="4" w:space="0"/>
              <w:bottom w:val="single" w:color="auto" w:sz="4" w:space="0"/>
            </w:tcBorders>
          </w:tcPr>
          <w:p w14:paraId="06AB703F">
            <w:pPr>
              <w:spacing w:line="240" w:lineRule="auto"/>
              <w:jc w:val="both"/>
              <w:rPr>
                <w:rFonts w:ascii="Times New Roman" w:hAnsi="Times New Roman" w:cs="Times New Roman"/>
                <w:b/>
                <w:sz w:val="20"/>
                <w:szCs w:val="20"/>
              </w:rPr>
            </w:pPr>
            <w:r>
              <w:rPr>
                <w:rFonts w:ascii="Times New Roman" w:hAnsi="Times New Roman" w:cs="Times New Roman"/>
                <w:b/>
                <w:sz w:val="20"/>
                <w:szCs w:val="20"/>
              </w:rPr>
              <w:t>Percentage (%)</w:t>
            </w:r>
          </w:p>
        </w:tc>
        <w:tc>
          <w:tcPr>
            <w:tcW w:w="1375" w:type="dxa"/>
            <w:tcBorders>
              <w:top w:val="single" w:color="auto" w:sz="4" w:space="0"/>
              <w:bottom w:val="single" w:color="auto" w:sz="4" w:space="0"/>
            </w:tcBorders>
          </w:tcPr>
          <w:p w14:paraId="69EBCB58">
            <w:pPr>
              <w:spacing w:line="240" w:lineRule="auto"/>
              <w:jc w:val="both"/>
              <w:rPr>
                <w:rFonts w:ascii="Times New Roman" w:hAnsi="Times New Roman" w:cs="Times New Roman"/>
                <w:b/>
                <w:sz w:val="20"/>
                <w:szCs w:val="20"/>
              </w:rPr>
            </w:pPr>
            <w:r>
              <w:rPr>
                <w:rFonts w:ascii="Times New Roman" w:hAnsi="Times New Roman" w:cs="Times New Roman"/>
                <w:b/>
                <w:sz w:val="20"/>
                <w:szCs w:val="20"/>
              </w:rPr>
              <w:t>P-value, Chi-square, degree of freedom</w:t>
            </w:r>
          </w:p>
        </w:tc>
      </w:tr>
      <w:tr w14:paraId="10BF04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1" w:type="dxa"/>
            <w:tcBorders>
              <w:top w:val="single" w:color="auto" w:sz="4" w:space="0"/>
            </w:tcBorders>
          </w:tcPr>
          <w:p w14:paraId="6F3C9BCA">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Transverse </w:t>
            </w:r>
          </w:p>
        </w:tc>
        <w:tc>
          <w:tcPr>
            <w:tcW w:w="1229" w:type="dxa"/>
            <w:tcBorders>
              <w:top w:val="single" w:color="auto" w:sz="4" w:space="0"/>
            </w:tcBorders>
          </w:tcPr>
          <w:p w14:paraId="026ABB44">
            <w:pPr>
              <w:spacing w:line="240" w:lineRule="auto"/>
              <w:jc w:val="both"/>
              <w:rPr>
                <w:rFonts w:ascii="Times New Roman" w:hAnsi="Times New Roman" w:cs="Times New Roman"/>
                <w:sz w:val="20"/>
                <w:szCs w:val="20"/>
              </w:rPr>
            </w:pPr>
            <w:r>
              <w:rPr>
                <w:rFonts w:ascii="Times New Roman" w:hAnsi="Times New Roman" w:cs="Times New Roman"/>
                <w:sz w:val="20"/>
                <w:szCs w:val="20"/>
              </w:rPr>
              <w:t>63</w:t>
            </w:r>
          </w:p>
        </w:tc>
        <w:tc>
          <w:tcPr>
            <w:tcW w:w="1207" w:type="dxa"/>
            <w:tcBorders>
              <w:top w:val="single" w:color="auto" w:sz="4" w:space="0"/>
            </w:tcBorders>
          </w:tcPr>
          <w:p w14:paraId="56B51796">
            <w:pPr>
              <w:spacing w:line="240" w:lineRule="auto"/>
              <w:jc w:val="both"/>
              <w:rPr>
                <w:rFonts w:ascii="Times New Roman" w:hAnsi="Times New Roman" w:cs="Times New Roman"/>
                <w:sz w:val="20"/>
                <w:szCs w:val="20"/>
              </w:rPr>
            </w:pPr>
            <w:r>
              <w:rPr>
                <w:rFonts w:ascii="Times New Roman" w:hAnsi="Times New Roman" w:cs="Times New Roman"/>
                <w:sz w:val="20"/>
                <w:szCs w:val="20"/>
              </w:rPr>
              <w:t>60.00</w:t>
            </w:r>
          </w:p>
        </w:tc>
        <w:tc>
          <w:tcPr>
            <w:tcW w:w="1375" w:type="dxa"/>
            <w:tcBorders>
              <w:top w:val="single" w:color="auto" w:sz="4" w:space="0"/>
            </w:tcBorders>
          </w:tcPr>
          <w:p w14:paraId="507D5506">
            <w:pPr>
              <w:spacing w:line="240" w:lineRule="auto"/>
              <w:jc w:val="both"/>
              <w:rPr>
                <w:rFonts w:ascii="Times New Roman" w:hAnsi="Times New Roman" w:cs="Times New Roman"/>
                <w:sz w:val="20"/>
                <w:szCs w:val="20"/>
              </w:rPr>
            </w:pPr>
            <w:r>
              <w:rPr>
                <w:rFonts w:ascii="Times New Roman" w:hAnsi="Times New Roman" w:cs="Times New Roman"/>
                <w:i/>
                <w:sz w:val="20"/>
                <w:szCs w:val="20"/>
                <w:shd w:val="clear" w:color="auto" w:fill="FFFFFF"/>
              </w:rPr>
              <w:t>P</w:t>
            </w:r>
            <w:r>
              <w:rPr>
                <w:rFonts w:ascii="Times New Roman" w:hAnsi="Times New Roman" w:cs="Times New Roman"/>
                <w:sz w:val="20"/>
                <w:szCs w:val="20"/>
                <w:shd w:val="clear" w:color="auto" w:fill="FFFFFF"/>
              </w:rPr>
              <w:t>&lt; 0.0001</w:t>
            </w:r>
          </w:p>
        </w:tc>
      </w:tr>
      <w:tr w14:paraId="3872D2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1321" w:type="dxa"/>
          </w:tcPr>
          <w:p w14:paraId="3B8C903D">
            <w:pPr>
              <w:spacing w:line="240" w:lineRule="auto"/>
              <w:jc w:val="both"/>
              <w:rPr>
                <w:rFonts w:ascii="Times New Roman" w:hAnsi="Times New Roman" w:cs="Times New Roman"/>
                <w:sz w:val="20"/>
                <w:szCs w:val="20"/>
              </w:rPr>
            </w:pPr>
            <w:r>
              <w:rPr>
                <w:rFonts w:ascii="Times New Roman" w:hAnsi="Times New Roman" w:cs="Times New Roman"/>
                <w:sz w:val="20"/>
                <w:szCs w:val="20"/>
              </w:rPr>
              <w:t>Oblique</w:t>
            </w:r>
          </w:p>
        </w:tc>
        <w:tc>
          <w:tcPr>
            <w:tcW w:w="1229" w:type="dxa"/>
          </w:tcPr>
          <w:p w14:paraId="679E4967">
            <w:pPr>
              <w:spacing w:line="240" w:lineRule="auto"/>
              <w:jc w:val="both"/>
              <w:rPr>
                <w:rFonts w:ascii="Times New Roman" w:hAnsi="Times New Roman" w:cs="Times New Roman"/>
                <w:sz w:val="20"/>
                <w:szCs w:val="20"/>
              </w:rPr>
            </w:pPr>
            <w:r>
              <w:rPr>
                <w:rFonts w:ascii="Times New Roman" w:hAnsi="Times New Roman" w:cs="Times New Roman"/>
                <w:sz w:val="20"/>
                <w:szCs w:val="20"/>
              </w:rPr>
              <w:t>27</w:t>
            </w:r>
          </w:p>
        </w:tc>
        <w:tc>
          <w:tcPr>
            <w:tcW w:w="1207" w:type="dxa"/>
          </w:tcPr>
          <w:p w14:paraId="1C0C5D95">
            <w:pPr>
              <w:spacing w:line="240" w:lineRule="auto"/>
              <w:jc w:val="both"/>
              <w:rPr>
                <w:rFonts w:ascii="Times New Roman" w:hAnsi="Times New Roman" w:cs="Times New Roman"/>
                <w:sz w:val="20"/>
                <w:szCs w:val="20"/>
              </w:rPr>
            </w:pPr>
            <w:r>
              <w:rPr>
                <w:rFonts w:ascii="Times New Roman" w:hAnsi="Times New Roman" w:cs="Times New Roman"/>
                <w:sz w:val="20"/>
                <w:szCs w:val="20"/>
              </w:rPr>
              <w:t>25.71</w:t>
            </w:r>
          </w:p>
        </w:tc>
        <w:tc>
          <w:tcPr>
            <w:tcW w:w="1375" w:type="dxa"/>
          </w:tcPr>
          <w:p w14:paraId="60C3CFDD">
            <w:pPr>
              <w:spacing w:line="240" w:lineRule="auto"/>
              <w:jc w:val="both"/>
              <w:rPr>
                <w:rFonts w:ascii="Times New Roman" w:hAnsi="Times New Roman" w:cs="Times New Roman"/>
                <w:sz w:val="20"/>
                <w:szCs w:val="20"/>
              </w:rPr>
            </w:pPr>
            <w:r>
              <w:rPr>
                <w:rFonts w:ascii="Times New Roman" w:hAnsi="Times New Roman" w:cs="Times New Roman"/>
                <w:sz w:val="20"/>
                <w:szCs w:val="20"/>
              </w:rPr>
              <w:t>Chi-square =</w:t>
            </w:r>
            <w:r>
              <w:rPr>
                <w:rFonts w:ascii="Times New Roman" w:hAnsi="Times New Roman" w:cs="Times New Roman"/>
                <w:sz w:val="20"/>
                <w:szCs w:val="20"/>
                <w:shd w:val="clear" w:color="auto" w:fill="FFFFFF"/>
              </w:rPr>
              <w:t>151.7</w:t>
            </w:r>
          </w:p>
        </w:tc>
      </w:tr>
      <w:tr w14:paraId="4FE75D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1" w:type="dxa"/>
          </w:tcPr>
          <w:p w14:paraId="546040A6">
            <w:pPr>
              <w:spacing w:line="240" w:lineRule="auto"/>
              <w:jc w:val="both"/>
              <w:rPr>
                <w:rFonts w:ascii="Times New Roman" w:hAnsi="Times New Roman" w:cs="Times New Roman"/>
                <w:sz w:val="20"/>
                <w:szCs w:val="20"/>
              </w:rPr>
            </w:pPr>
            <w:r>
              <w:rPr>
                <w:rFonts w:ascii="Times New Roman" w:hAnsi="Times New Roman" w:cs="Times New Roman"/>
                <w:sz w:val="20"/>
                <w:szCs w:val="20"/>
              </w:rPr>
              <w:t>Comminuted</w:t>
            </w:r>
          </w:p>
        </w:tc>
        <w:tc>
          <w:tcPr>
            <w:tcW w:w="1229" w:type="dxa"/>
          </w:tcPr>
          <w:p w14:paraId="483EA42E">
            <w:pPr>
              <w:spacing w:line="240" w:lineRule="auto"/>
              <w:jc w:val="both"/>
              <w:rPr>
                <w:rFonts w:ascii="Times New Roman" w:hAnsi="Times New Roman" w:cs="Times New Roman"/>
                <w:sz w:val="20"/>
                <w:szCs w:val="20"/>
              </w:rPr>
            </w:pPr>
            <w:r>
              <w:rPr>
                <w:rFonts w:ascii="Times New Roman" w:hAnsi="Times New Roman" w:cs="Times New Roman"/>
                <w:sz w:val="20"/>
                <w:szCs w:val="20"/>
              </w:rPr>
              <w:t>10</w:t>
            </w:r>
          </w:p>
        </w:tc>
        <w:tc>
          <w:tcPr>
            <w:tcW w:w="1207" w:type="dxa"/>
          </w:tcPr>
          <w:p w14:paraId="546CFBFB">
            <w:pPr>
              <w:spacing w:line="240" w:lineRule="auto"/>
              <w:jc w:val="both"/>
              <w:rPr>
                <w:rFonts w:ascii="Times New Roman" w:hAnsi="Times New Roman" w:cs="Times New Roman"/>
                <w:sz w:val="20"/>
                <w:szCs w:val="20"/>
              </w:rPr>
            </w:pPr>
            <w:r>
              <w:rPr>
                <w:rFonts w:ascii="Times New Roman" w:hAnsi="Times New Roman" w:cs="Times New Roman"/>
                <w:sz w:val="20"/>
                <w:szCs w:val="20"/>
              </w:rPr>
              <w:t>9.52</w:t>
            </w:r>
          </w:p>
        </w:tc>
        <w:tc>
          <w:tcPr>
            <w:tcW w:w="1375" w:type="dxa"/>
          </w:tcPr>
          <w:p w14:paraId="5B8BE893">
            <w:pPr>
              <w:spacing w:line="240" w:lineRule="auto"/>
              <w:jc w:val="both"/>
              <w:rPr>
                <w:rFonts w:ascii="Times New Roman" w:hAnsi="Times New Roman" w:cs="Times New Roman"/>
                <w:sz w:val="20"/>
                <w:szCs w:val="20"/>
              </w:rPr>
            </w:pPr>
            <w:r>
              <w:rPr>
                <w:rFonts w:ascii="Times New Roman" w:hAnsi="Times New Roman" w:cs="Times New Roman"/>
                <w:sz w:val="20"/>
                <w:szCs w:val="20"/>
              </w:rPr>
              <w:t>Df = 3</w:t>
            </w:r>
          </w:p>
        </w:tc>
      </w:tr>
      <w:tr w14:paraId="76081A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1" w:type="dxa"/>
            <w:tcBorders>
              <w:bottom w:val="single" w:color="auto" w:sz="4" w:space="0"/>
            </w:tcBorders>
          </w:tcPr>
          <w:p w14:paraId="4C60BC59">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Salter Harris </w:t>
            </w:r>
          </w:p>
        </w:tc>
        <w:tc>
          <w:tcPr>
            <w:tcW w:w="1229" w:type="dxa"/>
            <w:tcBorders>
              <w:bottom w:val="single" w:color="auto" w:sz="4" w:space="0"/>
            </w:tcBorders>
          </w:tcPr>
          <w:p w14:paraId="7A435A59">
            <w:pPr>
              <w:spacing w:line="240" w:lineRule="auto"/>
              <w:jc w:val="both"/>
              <w:rPr>
                <w:rFonts w:ascii="Times New Roman" w:hAnsi="Times New Roman" w:cs="Times New Roman"/>
                <w:sz w:val="20"/>
                <w:szCs w:val="20"/>
              </w:rPr>
            </w:pPr>
            <w:r>
              <w:rPr>
                <w:rFonts w:ascii="Times New Roman" w:hAnsi="Times New Roman" w:cs="Times New Roman"/>
                <w:sz w:val="20"/>
                <w:szCs w:val="20"/>
              </w:rPr>
              <w:t>5</w:t>
            </w:r>
          </w:p>
        </w:tc>
        <w:tc>
          <w:tcPr>
            <w:tcW w:w="1207" w:type="dxa"/>
            <w:tcBorders>
              <w:bottom w:val="single" w:color="auto" w:sz="4" w:space="0"/>
            </w:tcBorders>
          </w:tcPr>
          <w:p w14:paraId="300EBD61">
            <w:pPr>
              <w:spacing w:line="240" w:lineRule="auto"/>
              <w:jc w:val="both"/>
              <w:rPr>
                <w:rFonts w:ascii="Times New Roman" w:hAnsi="Times New Roman" w:cs="Times New Roman"/>
                <w:sz w:val="20"/>
                <w:szCs w:val="20"/>
              </w:rPr>
            </w:pPr>
            <w:r>
              <w:rPr>
                <w:rFonts w:ascii="Times New Roman" w:hAnsi="Times New Roman" w:cs="Times New Roman"/>
                <w:sz w:val="20"/>
                <w:szCs w:val="20"/>
              </w:rPr>
              <w:t>4.76</w:t>
            </w:r>
          </w:p>
        </w:tc>
        <w:tc>
          <w:tcPr>
            <w:tcW w:w="1375" w:type="dxa"/>
            <w:tcBorders>
              <w:bottom w:val="single" w:color="auto" w:sz="4" w:space="0"/>
            </w:tcBorders>
          </w:tcPr>
          <w:p w14:paraId="369FC223">
            <w:pPr>
              <w:spacing w:line="240" w:lineRule="auto"/>
              <w:jc w:val="both"/>
              <w:rPr>
                <w:rFonts w:ascii="Times New Roman" w:hAnsi="Times New Roman" w:cs="Times New Roman"/>
                <w:sz w:val="20"/>
                <w:szCs w:val="20"/>
              </w:rPr>
            </w:pPr>
          </w:p>
        </w:tc>
      </w:tr>
      <w:tr w14:paraId="2E3003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1" w:type="dxa"/>
            <w:tcBorders>
              <w:top w:val="single" w:color="auto" w:sz="4" w:space="0"/>
            </w:tcBorders>
          </w:tcPr>
          <w:p w14:paraId="4E868C3C">
            <w:pPr>
              <w:spacing w:line="240" w:lineRule="auto"/>
              <w:jc w:val="both"/>
              <w:rPr>
                <w:rFonts w:ascii="Times New Roman" w:hAnsi="Times New Roman" w:cs="Times New Roman"/>
                <w:sz w:val="20"/>
                <w:szCs w:val="20"/>
              </w:rPr>
            </w:pPr>
            <w:r>
              <w:rPr>
                <w:rFonts w:ascii="Times New Roman" w:hAnsi="Times New Roman" w:cs="Times New Roman"/>
                <w:sz w:val="20"/>
                <w:szCs w:val="20"/>
              </w:rPr>
              <w:t>Total</w:t>
            </w:r>
          </w:p>
        </w:tc>
        <w:tc>
          <w:tcPr>
            <w:tcW w:w="1229" w:type="dxa"/>
            <w:tcBorders>
              <w:top w:val="single" w:color="auto" w:sz="4" w:space="0"/>
            </w:tcBorders>
          </w:tcPr>
          <w:p w14:paraId="4ADE32FE">
            <w:pPr>
              <w:spacing w:line="240" w:lineRule="auto"/>
              <w:jc w:val="both"/>
              <w:rPr>
                <w:rFonts w:ascii="Times New Roman" w:hAnsi="Times New Roman" w:cs="Times New Roman"/>
                <w:sz w:val="20"/>
                <w:szCs w:val="20"/>
              </w:rPr>
            </w:pPr>
            <w:r>
              <w:rPr>
                <w:rFonts w:ascii="Times New Roman" w:hAnsi="Times New Roman" w:cs="Times New Roman"/>
                <w:sz w:val="20"/>
                <w:szCs w:val="20"/>
              </w:rPr>
              <w:t>105</w:t>
            </w:r>
          </w:p>
        </w:tc>
        <w:tc>
          <w:tcPr>
            <w:tcW w:w="1207" w:type="dxa"/>
            <w:tcBorders>
              <w:top w:val="single" w:color="auto" w:sz="4" w:space="0"/>
            </w:tcBorders>
          </w:tcPr>
          <w:p w14:paraId="6E4F1CC9">
            <w:pPr>
              <w:spacing w:line="240" w:lineRule="auto"/>
              <w:jc w:val="both"/>
              <w:rPr>
                <w:rFonts w:ascii="Times New Roman" w:hAnsi="Times New Roman" w:cs="Times New Roman"/>
                <w:sz w:val="20"/>
                <w:szCs w:val="20"/>
              </w:rPr>
            </w:pPr>
            <w:r>
              <w:rPr>
                <w:rFonts w:ascii="Times New Roman" w:hAnsi="Times New Roman" w:cs="Times New Roman"/>
                <w:sz w:val="20"/>
                <w:szCs w:val="20"/>
              </w:rPr>
              <w:t>100</w:t>
            </w:r>
          </w:p>
        </w:tc>
        <w:tc>
          <w:tcPr>
            <w:tcW w:w="1375" w:type="dxa"/>
            <w:tcBorders>
              <w:top w:val="single" w:color="auto" w:sz="4" w:space="0"/>
            </w:tcBorders>
          </w:tcPr>
          <w:p w14:paraId="00CEB0A9">
            <w:pPr>
              <w:spacing w:line="240" w:lineRule="auto"/>
              <w:jc w:val="both"/>
              <w:rPr>
                <w:rFonts w:ascii="Times New Roman" w:hAnsi="Times New Roman" w:cs="Times New Roman"/>
                <w:sz w:val="20"/>
                <w:szCs w:val="20"/>
              </w:rPr>
            </w:pPr>
          </w:p>
        </w:tc>
      </w:tr>
    </w:tbl>
    <w:p w14:paraId="4080E091">
      <w:pPr>
        <w:jc w:val="right"/>
        <w:rPr>
          <w:rFonts w:ascii="Times New Roman" w:hAnsi="Times New Roman" w:cs="Times New Roman"/>
          <w:sz w:val="20"/>
          <w:szCs w:val="20"/>
        </w:rPr>
      </w:pPr>
    </w:p>
    <w:tbl>
      <w:tblPr>
        <w:tblStyle w:val="3"/>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6"/>
        <w:gridCol w:w="1353"/>
        <w:gridCol w:w="1340"/>
        <w:gridCol w:w="1233"/>
      </w:tblGrid>
      <w:tr w14:paraId="2C2754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32" w:type="dxa"/>
            <w:gridSpan w:val="4"/>
            <w:tcBorders>
              <w:top w:val="nil"/>
              <w:bottom w:val="single" w:color="auto" w:sz="4" w:space="0"/>
            </w:tcBorders>
          </w:tcPr>
          <w:p w14:paraId="5FD20BEF">
            <w:pPr>
              <w:spacing w:after="0"/>
              <w:jc w:val="both"/>
              <w:rPr>
                <w:rFonts w:ascii="Times New Roman" w:hAnsi="Times New Roman" w:cs="Times New Roman"/>
                <w:b/>
                <w:sz w:val="20"/>
                <w:szCs w:val="20"/>
              </w:rPr>
            </w:pPr>
            <w:r>
              <w:rPr>
                <w:rFonts w:ascii="Times New Roman" w:hAnsi="Times New Roman" w:cs="Times New Roman"/>
                <w:b/>
                <w:bCs/>
                <w:sz w:val="20"/>
                <w:szCs w:val="20"/>
              </w:rPr>
              <w:t>TABLE II</w:t>
            </w:r>
            <w:r>
              <w:rPr>
                <w:rFonts w:ascii="Times New Roman" w:hAnsi="Times New Roman" w:cs="Times New Roman"/>
                <w:b/>
                <w:sz w:val="20"/>
                <w:szCs w:val="20"/>
              </w:rPr>
              <w:t>: LONG BONES AFFECTED WITH FRACTURES IN THIS STUDY</w:t>
            </w:r>
          </w:p>
        </w:tc>
      </w:tr>
      <w:tr w14:paraId="2B17280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06" w:type="dxa"/>
            <w:tcBorders>
              <w:top w:val="single" w:color="auto" w:sz="4" w:space="0"/>
              <w:bottom w:val="single" w:color="auto" w:sz="4" w:space="0"/>
            </w:tcBorders>
          </w:tcPr>
          <w:p w14:paraId="5863CF13">
            <w:pPr>
              <w:spacing w:after="0"/>
              <w:jc w:val="both"/>
              <w:rPr>
                <w:rFonts w:ascii="Times New Roman" w:hAnsi="Times New Roman" w:cs="Times New Roman"/>
                <w:b/>
                <w:sz w:val="20"/>
                <w:szCs w:val="20"/>
              </w:rPr>
            </w:pPr>
            <w:r>
              <w:rPr>
                <w:rFonts w:ascii="Times New Roman" w:hAnsi="Times New Roman" w:cs="Times New Roman"/>
                <w:b/>
                <w:sz w:val="20"/>
                <w:szCs w:val="20"/>
              </w:rPr>
              <w:t>Long bones</w:t>
            </w:r>
          </w:p>
        </w:tc>
        <w:tc>
          <w:tcPr>
            <w:tcW w:w="1353" w:type="dxa"/>
            <w:tcBorders>
              <w:top w:val="single" w:color="auto" w:sz="4" w:space="0"/>
              <w:bottom w:val="single" w:color="auto" w:sz="4" w:space="0"/>
            </w:tcBorders>
          </w:tcPr>
          <w:p w14:paraId="210B01D1">
            <w:pPr>
              <w:jc w:val="both"/>
              <w:rPr>
                <w:rFonts w:ascii="Times New Roman" w:hAnsi="Times New Roman" w:cs="Times New Roman"/>
                <w:b/>
                <w:sz w:val="20"/>
                <w:szCs w:val="20"/>
              </w:rPr>
            </w:pPr>
            <w:r>
              <w:rPr>
                <w:rFonts w:ascii="Times New Roman" w:hAnsi="Times New Roman" w:cs="Times New Roman"/>
                <w:b/>
                <w:sz w:val="20"/>
                <w:szCs w:val="20"/>
              </w:rPr>
              <w:t>Frequency (n)</w:t>
            </w:r>
          </w:p>
        </w:tc>
        <w:tc>
          <w:tcPr>
            <w:tcW w:w="1340" w:type="dxa"/>
            <w:tcBorders>
              <w:top w:val="single" w:color="auto" w:sz="4" w:space="0"/>
              <w:bottom w:val="single" w:color="auto" w:sz="4" w:space="0"/>
            </w:tcBorders>
          </w:tcPr>
          <w:p w14:paraId="307D62CB">
            <w:pPr>
              <w:jc w:val="both"/>
              <w:rPr>
                <w:rFonts w:ascii="Times New Roman" w:hAnsi="Times New Roman" w:cs="Times New Roman"/>
                <w:b/>
                <w:sz w:val="20"/>
                <w:szCs w:val="20"/>
              </w:rPr>
            </w:pPr>
            <w:r>
              <w:rPr>
                <w:rFonts w:ascii="Times New Roman" w:hAnsi="Times New Roman" w:cs="Times New Roman"/>
                <w:b/>
                <w:sz w:val="20"/>
                <w:szCs w:val="20"/>
              </w:rPr>
              <w:t>Percentage (%)</w:t>
            </w:r>
          </w:p>
        </w:tc>
        <w:tc>
          <w:tcPr>
            <w:tcW w:w="1233" w:type="dxa"/>
            <w:tcBorders>
              <w:top w:val="single" w:color="auto" w:sz="4" w:space="0"/>
              <w:bottom w:val="single" w:color="auto" w:sz="4" w:space="0"/>
            </w:tcBorders>
          </w:tcPr>
          <w:p w14:paraId="395F4BBA">
            <w:pPr>
              <w:jc w:val="both"/>
              <w:rPr>
                <w:rFonts w:ascii="Times New Roman" w:hAnsi="Times New Roman" w:cs="Times New Roman"/>
                <w:b/>
                <w:sz w:val="20"/>
                <w:szCs w:val="20"/>
              </w:rPr>
            </w:pPr>
            <w:r>
              <w:rPr>
                <w:rFonts w:ascii="Times New Roman" w:hAnsi="Times New Roman" w:cs="Times New Roman"/>
                <w:b/>
                <w:sz w:val="20"/>
                <w:szCs w:val="20"/>
              </w:rPr>
              <w:t>P-value, Chi-square, degree of freedom</w:t>
            </w:r>
          </w:p>
        </w:tc>
      </w:tr>
      <w:tr w14:paraId="4C255A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06" w:type="dxa"/>
            <w:tcBorders>
              <w:top w:val="single" w:color="auto" w:sz="4" w:space="0"/>
              <w:bottom w:val="nil"/>
            </w:tcBorders>
          </w:tcPr>
          <w:p w14:paraId="36C175CA">
            <w:pPr>
              <w:jc w:val="both"/>
              <w:rPr>
                <w:rFonts w:ascii="Times New Roman" w:hAnsi="Times New Roman" w:cs="Times New Roman"/>
                <w:sz w:val="20"/>
                <w:szCs w:val="20"/>
              </w:rPr>
            </w:pPr>
            <w:r>
              <w:rPr>
                <w:rFonts w:ascii="Times New Roman" w:hAnsi="Times New Roman" w:cs="Times New Roman"/>
                <w:sz w:val="20"/>
                <w:szCs w:val="20"/>
              </w:rPr>
              <w:t>Femur</w:t>
            </w:r>
          </w:p>
        </w:tc>
        <w:tc>
          <w:tcPr>
            <w:tcW w:w="1353" w:type="dxa"/>
            <w:tcBorders>
              <w:top w:val="single" w:color="auto" w:sz="4" w:space="0"/>
              <w:bottom w:val="nil"/>
            </w:tcBorders>
          </w:tcPr>
          <w:p w14:paraId="61B273F5">
            <w:pPr>
              <w:jc w:val="both"/>
              <w:rPr>
                <w:rFonts w:ascii="Times New Roman" w:hAnsi="Times New Roman" w:cs="Times New Roman"/>
                <w:sz w:val="20"/>
                <w:szCs w:val="20"/>
              </w:rPr>
            </w:pPr>
            <w:r>
              <w:rPr>
                <w:rFonts w:ascii="Times New Roman" w:hAnsi="Times New Roman" w:cs="Times New Roman"/>
                <w:sz w:val="20"/>
                <w:szCs w:val="20"/>
              </w:rPr>
              <w:t>41</w:t>
            </w:r>
          </w:p>
        </w:tc>
        <w:tc>
          <w:tcPr>
            <w:tcW w:w="1340" w:type="dxa"/>
            <w:tcBorders>
              <w:top w:val="single" w:color="auto" w:sz="4" w:space="0"/>
              <w:bottom w:val="nil"/>
            </w:tcBorders>
          </w:tcPr>
          <w:p w14:paraId="33E127EE">
            <w:pPr>
              <w:jc w:val="both"/>
              <w:rPr>
                <w:rFonts w:ascii="Times New Roman" w:hAnsi="Times New Roman" w:cs="Times New Roman"/>
                <w:sz w:val="20"/>
                <w:szCs w:val="20"/>
              </w:rPr>
            </w:pPr>
            <w:r>
              <w:rPr>
                <w:rFonts w:ascii="Times New Roman" w:hAnsi="Times New Roman" w:cs="Times New Roman"/>
                <w:sz w:val="20"/>
                <w:szCs w:val="20"/>
              </w:rPr>
              <w:t>39.05</w:t>
            </w:r>
          </w:p>
        </w:tc>
        <w:tc>
          <w:tcPr>
            <w:tcW w:w="1233" w:type="dxa"/>
            <w:tcBorders>
              <w:top w:val="single" w:color="auto" w:sz="4" w:space="0"/>
              <w:bottom w:val="nil"/>
            </w:tcBorders>
          </w:tcPr>
          <w:p w14:paraId="498407B7">
            <w:pPr>
              <w:jc w:val="both"/>
              <w:rPr>
                <w:rFonts w:ascii="Times New Roman" w:hAnsi="Times New Roman" w:cs="Times New Roman"/>
                <w:sz w:val="20"/>
                <w:szCs w:val="20"/>
              </w:rPr>
            </w:pPr>
            <w:r>
              <w:rPr>
                <w:rFonts w:ascii="Times New Roman" w:hAnsi="Times New Roman" w:cs="Times New Roman"/>
                <w:i/>
                <w:sz w:val="20"/>
                <w:szCs w:val="20"/>
                <w:shd w:val="clear" w:color="auto" w:fill="FFFFFF"/>
              </w:rPr>
              <w:t>P</w:t>
            </w:r>
            <w:r>
              <w:rPr>
                <w:rFonts w:ascii="Times New Roman" w:hAnsi="Times New Roman" w:cs="Times New Roman"/>
                <w:sz w:val="20"/>
                <w:szCs w:val="20"/>
                <w:shd w:val="clear" w:color="auto" w:fill="FFFFFF"/>
              </w:rPr>
              <w:t>&lt; 0.0001</w:t>
            </w:r>
          </w:p>
        </w:tc>
      </w:tr>
      <w:tr w14:paraId="2B81E2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06" w:type="dxa"/>
            <w:tcBorders>
              <w:top w:val="nil"/>
              <w:bottom w:val="nil"/>
            </w:tcBorders>
          </w:tcPr>
          <w:p w14:paraId="61041786">
            <w:pPr>
              <w:jc w:val="both"/>
              <w:rPr>
                <w:rFonts w:ascii="Times New Roman" w:hAnsi="Times New Roman" w:cs="Times New Roman"/>
                <w:sz w:val="20"/>
                <w:szCs w:val="20"/>
              </w:rPr>
            </w:pPr>
            <w:r>
              <w:rPr>
                <w:rFonts w:ascii="Times New Roman" w:hAnsi="Times New Roman" w:cs="Times New Roman"/>
                <w:sz w:val="20"/>
                <w:szCs w:val="20"/>
              </w:rPr>
              <w:t>Tibia and fibula</w:t>
            </w:r>
          </w:p>
        </w:tc>
        <w:tc>
          <w:tcPr>
            <w:tcW w:w="1353" w:type="dxa"/>
            <w:tcBorders>
              <w:top w:val="nil"/>
              <w:bottom w:val="nil"/>
            </w:tcBorders>
          </w:tcPr>
          <w:p w14:paraId="1D70C2AF">
            <w:pPr>
              <w:jc w:val="both"/>
              <w:rPr>
                <w:rFonts w:ascii="Times New Roman" w:hAnsi="Times New Roman" w:cs="Times New Roman"/>
                <w:sz w:val="20"/>
                <w:szCs w:val="20"/>
              </w:rPr>
            </w:pPr>
            <w:r>
              <w:rPr>
                <w:rFonts w:ascii="Times New Roman" w:hAnsi="Times New Roman" w:cs="Times New Roman"/>
                <w:sz w:val="20"/>
                <w:szCs w:val="20"/>
              </w:rPr>
              <w:t>40</w:t>
            </w:r>
          </w:p>
        </w:tc>
        <w:tc>
          <w:tcPr>
            <w:tcW w:w="1340" w:type="dxa"/>
            <w:tcBorders>
              <w:top w:val="nil"/>
              <w:bottom w:val="nil"/>
            </w:tcBorders>
          </w:tcPr>
          <w:p w14:paraId="04D797B5">
            <w:pPr>
              <w:jc w:val="both"/>
              <w:rPr>
                <w:rFonts w:ascii="Times New Roman" w:hAnsi="Times New Roman" w:cs="Times New Roman"/>
                <w:sz w:val="20"/>
                <w:szCs w:val="20"/>
              </w:rPr>
            </w:pPr>
            <w:r>
              <w:rPr>
                <w:rFonts w:ascii="Times New Roman" w:hAnsi="Times New Roman" w:cs="Times New Roman"/>
                <w:sz w:val="20"/>
                <w:szCs w:val="20"/>
              </w:rPr>
              <w:t>38.10</w:t>
            </w:r>
          </w:p>
        </w:tc>
        <w:tc>
          <w:tcPr>
            <w:tcW w:w="1233" w:type="dxa"/>
            <w:tcBorders>
              <w:top w:val="nil"/>
              <w:bottom w:val="nil"/>
            </w:tcBorders>
          </w:tcPr>
          <w:p w14:paraId="1EA00F5C">
            <w:pPr>
              <w:jc w:val="both"/>
              <w:rPr>
                <w:rFonts w:ascii="Times New Roman" w:hAnsi="Times New Roman" w:cs="Times New Roman"/>
                <w:sz w:val="20"/>
                <w:szCs w:val="20"/>
              </w:rPr>
            </w:pPr>
            <w:r>
              <w:rPr>
                <w:rFonts w:ascii="Times New Roman" w:hAnsi="Times New Roman" w:cs="Times New Roman"/>
                <w:sz w:val="20"/>
                <w:szCs w:val="20"/>
              </w:rPr>
              <w:t>Chi-square =</w:t>
            </w:r>
            <w:r>
              <w:rPr>
                <w:rFonts w:ascii="Times New Roman" w:hAnsi="Times New Roman" w:cs="Times New Roman"/>
                <w:sz w:val="20"/>
                <w:szCs w:val="20"/>
                <w:shd w:val="clear" w:color="auto" w:fill="FFFFFF"/>
              </w:rPr>
              <w:t>49.2</w:t>
            </w:r>
          </w:p>
        </w:tc>
      </w:tr>
      <w:tr w14:paraId="22DD92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06" w:type="dxa"/>
          </w:tcPr>
          <w:p w14:paraId="62F3A676">
            <w:pPr>
              <w:jc w:val="both"/>
              <w:rPr>
                <w:rFonts w:ascii="Times New Roman" w:hAnsi="Times New Roman" w:cs="Times New Roman"/>
                <w:sz w:val="20"/>
                <w:szCs w:val="20"/>
              </w:rPr>
            </w:pPr>
            <w:r>
              <w:rPr>
                <w:rFonts w:ascii="Times New Roman" w:hAnsi="Times New Roman" w:cs="Times New Roman"/>
                <w:sz w:val="20"/>
                <w:szCs w:val="20"/>
              </w:rPr>
              <w:t>Radius and Ulna</w:t>
            </w:r>
          </w:p>
        </w:tc>
        <w:tc>
          <w:tcPr>
            <w:tcW w:w="1353" w:type="dxa"/>
          </w:tcPr>
          <w:p w14:paraId="20E23E19">
            <w:pPr>
              <w:jc w:val="both"/>
              <w:rPr>
                <w:rFonts w:ascii="Times New Roman" w:hAnsi="Times New Roman" w:cs="Times New Roman"/>
                <w:sz w:val="20"/>
                <w:szCs w:val="20"/>
              </w:rPr>
            </w:pPr>
            <w:r>
              <w:rPr>
                <w:rFonts w:ascii="Times New Roman" w:hAnsi="Times New Roman" w:cs="Times New Roman"/>
                <w:sz w:val="20"/>
                <w:szCs w:val="20"/>
              </w:rPr>
              <w:t>16</w:t>
            </w:r>
          </w:p>
        </w:tc>
        <w:tc>
          <w:tcPr>
            <w:tcW w:w="1340" w:type="dxa"/>
          </w:tcPr>
          <w:p w14:paraId="4EA3700A">
            <w:pPr>
              <w:jc w:val="both"/>
              <w:rPr>
                <w:rFonts w:ascii="Times New Roman" w:hAnsi="Times New Roman" w:cs="Times New Roman"/>
                <w:sz w:val="20"/>
                <w:szCs w:val="20"/>
              </w:rPr>
            </w:pPr>
            <w:r>
              <w:rPr>
                <w:rFonts w:ascii="Times New Roman" w:hAnsi="Times New Roman" w:cs="Times New Roman"/>
                <w:sz w:val="20"/>
                <w:szCs w:val="20"/>
              </w:rPr>
              <w:t>15.23</w:t>
            </w:r>
          </w:p>
        </w:tc>
        <w:tc>
          <w:tcPr>
            <w:tcW w:w="1233" w:type="dxa"/>
          </w:tcPr>
          <w:p w14:paraId="6514F3FC">
            <w:pPr>
              <w:jc w:val="both"/>
              <w:rPr>
                <w:rFonts w:ascii="Times New Roman" w:hAnsi="Times New Roman" w:cs="Times New Roman"/>
                <w:sz w:val="20"/>
                <w:szCs w:val="20"/>
              </w:rPr>
            </w:pPr>
            <w:r>
              <w:rPr>
                <w:rFonts w:ascii="Times New Roman" w:hAnsi="Times New Roman" w:cs="Times New Roman"/>
                <w:sz w:val="20"/>
                <w:szCs w:val="20"/>
              </w:rPr>
              <w:t>Df = 3</w:t>
            </w:r>
          </w:p>
        </w:tc>
      </w:tr>
      <w:tr w14:paraId="50AA51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06" w:type="dxa"/>
            <w:tcBorders>
              <w:bottom w:val="single" w:color="auto" w:sz="4" w:space="0"/>
            </w:tcBorders>
          </w:tcPr>
          <w:p w14:paraId="57F58CEC">
            <w:pPr>
              <w:jc w:val="both"/>
              <w:rPr>
                <w:rFonts w:ascii="Times New Roman" w:hAnsi="Times New Roman" w:cs="Times New Roman"/>
                <w:sz w:val="20"/>
                <w:szCs w:val="20"/>
              </w:rPr>
            </w:pPr>
            <w:r>
              <w:rPr>
                <w:rFonts w:ascii="Times New Roman" w:hAnsi="Times New Roman" w:cs="Times New Roman"/>
                <w:sz w:val="20"/>
                <w:szCs w:val="20"/>
              </w:rPr>
              <w:t>Humerus</w:t>
            </w:r>
          </w:p>
        </w:tc>
        <w:tc>
          <w:tcPr>
            <w:tcW w:w="1353" w:type="dxa"/>
            <w:tcBorders>
              <w:bottom w:val="single" w:color="auto" w:sz="4" w:space="0"/>
            </w:tcBorders>
          </w:tcPr>
          <w:p w14:paraId="5FCFA90B">
            <w:pPr>
              <w:jc w:val="both"/>
              <w:rPr>
                <w:rFonts w:ascii="Times New Roman" w:hAnsi="Times New Roman" w:cs="Times New Roman"/>
                <w:sz w:val="20"/>
                <w:szCs w:val="20"/>
              </w:rPr>
            </w:pPr>
            <w:r>
              <w:rPr>
                <w:rFonts w:ascii="Times New Roman" w:hAnsi="Times New Roman" w:cs="Times New Roman"/>
                <w:sz w:val="20"/>
                <w:szCs w:val="20"/>
              </w:rPr>
              <w:t>8</w:t>
            </w:r>
          </w:p>
        </w:tc>
        <w:tc>
          <w:tcPr>
            <w:tcW w:w="1340" w:type="dxa"/>
            <w:tcBorders>
              <w:bottom w:val="single" w:color="auto" w:sz="4" w:space="0"/>
            </w:tcBorders>
          </w:tcPr>
          <w:p w14:paraId="3627AAA4">
            <w:pPr>
              <w:jc w:val="both"/>
              <w:rPr>
                <w:rFonts w:ascii="Times New Roman" w:hAnsi="Times New Roman" w:cs="Times New Roman"/>
                <w:sz w:val="20"/>
                <w:szCs w:val="20"/>
              </w:rPr>
            </w:pPr>
            <w:r>
              <w:rPr>
                <w:rFonts w:ascii="Times New Roman" w:hAnsi="Times New Roman" w:cs="Times New Roman"/>
                <w:sz w:val="20"/>
                <w:szCs w:val="20"/>
              </w:rPr>
              <w:t>7.62</w:t>
            </w:r>
          </w:p>
        </w:tc>
        <w:tc>
          <w:tcPr>
            <w:tcW w:w="1233" w:type="dxa"/>
            <w:tcBorders>
              <w:bottom w:val="single" w:color="auto" w:sz="4" w:space="0"/>
            </w:tcBorders>
          </w:tcPr>
          <w:p w14:paraId="52C3FDB2">
            <w:pPr>
              <w:jc w:val="both"/>
              <w:rPr>
                <w:rFonts w:ascii="Times New Roman" w:hAnsi="Times New Roman" w:cs="Times New Roman"/>
                <w:sz w:val="20"/>
                <w:szCs w:val="20"/>
              </w:rPr>
            </w:pPr>
          </w:p>
        </w:tc>
      </w:tr>
      <w:tr w14:paraId="31C8A0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06" w:type="dxa"/>
            <w:tcBorders>
              <w:top w:val="single" w:color="auto" w:sz="4" w:space="0"/>
            </w:tcBorders>
          </w:tcPr>
          <w:p w14:paraId="25ABE72D">
            <w:pPr>
              <w:jc w:val="both"/>
              <w:rPr>
                <w:rFonts w:ascii="Times New Roman" w:hAnsi="Times New Roman" w:cs="Times New Roman"/>
                <w:sz w:val="20"/>
                <w:szCs w:val="20"/>
              </w:rPr>
            </w:pPr>
            <w:r>
              <w:rPr>
                <w:rFonts w:ascii="Times New Roman" w:hAnsi="Times New Roman" w:cs="Times New Roman"/>
                <w:sz w:val="20"/>
                <w:szCs w:val="20"/>
              </w:rPr>
              <w:t>Total</w:t>
            </w:r>
          </w:p>
        </w:tc>
        <w:tc>
          <w:tcPr>
            <w:tcW w:w="1353" w:type="dxa"/>
            <w:tcBorders>
              <w:top w:val="single" w:color="auto" w:sz="4" w:space="0"/>
            </w:tcBorders>
          </w:tcPr>
          <w:p w14:paraId="48E6F8FF">
            <w:pPr>
              <w:jc w:val="both"/>
              <w:rPr>
                <w:rFonts w:ascii="Times New Roman" w:hAnsi="Times New Roman" w:cs="Times New Roman"/>
                <w:sz w:val="20"/>
                <w:szCs w:val="20"/>
              </w:rPr>
            </w:pPr>
            <w:r>
              <w:rPr>
                <w:rFonts w:ascii="Times New Roman" w:hAnsi="Times New Roman" w:cs="Times New Roman"/>
                <w:sz w:val="20"/>
                <w:szCs w:val="20"/>
              </w:rPr>
              <w:t>105</w:t>
            </w:r>
          </w:p>
        </w:tc>
        <w:tc>
          <w:tcPr>
            <w:tcW w:w="1340" w:type="dxa"/>
            <w:tcBorders>
              <w:top w:val="single" w:color="auto" w:sz="4" w:space="0"/>
            </w:tcBorders>
          </w:tcPr>
          <w:p w14:paraId="08228E4F">
            <w:pPr>
              <w:jc w:val="both"/>
              <w:rPr>
                <w:rFonts w:ascii="Times New Roman" w:hAnsi="Times New Roman" w:cs="Times New Roman"/>
                <w:sz w:val="20"/>
                <w:szCs w:val="20"/>
              </w:rPr>
            </w:pPr>
            <w:r>
              <w:rPr>
                <w:rFonts w:ascii="Times New Roman" w:hAnsi="Times New Roman" w:cs="Times New Roman"/>
                <w:sz w:val="20"/>
                <w:szCs w:val="20"/>
              </w:rPr>
              <w:t>100</w:t>
            </w:r>
          </w:p>
        </w:tc>
        <w:tc>
          <w:tcPr>
            <w:tcW w:w="1233" w:type="dxa"/>
            <w:tcBorders>
              <w:top w:val="single" w:color="auto" w:sz="4" w:space="0"/>
            </w:tcBorders>
          </w:tcPr>
          <w:p w14:paraId="61F378EB">
            <w:pPr>
              <w:jc w:val="both"/>
              <w:rPr>
                <w:rFonts w:ascii="Times New Roman" w:hAnsi="Times New Roman" w:cs="Times New Roman"/>
                <w:sz w:val="20"/>
                <w:szCs w:val="20"/>
              </w:rPr>
            </w:pPr>
          </w:p>
        </w:tc>
      </w:tr>
    </w:tbl>
    <w:p w14:paraId="6C8E374C">
      <w:pPr>
        <w:jc w:val="both"/>
        <w:rPr>
          <w:rFonts w:ascii="Times New Roman" w:hAnsi="Times New Roman" w:cs="Times New Roman"/>
          <w:sz w:val="20"/>
          <w:szCs w:val="20"/>
        </w:rPr>
      </w:pPr>
    </w:p>
    <w:p w14:paraId="59ABE9A8">
      <w:pPr>
        <w:spacing w:after="0"/>
        <w:rPr>
          <w:rFonts w:ascii="Times New Roman" w:hAnsi="Times New Roman" w:cs="Times New Roman"/>
          <w:b/>
          <w:bCs/>
          <w:sz w:val="20"/>
          <w:szCs w:val="20"/>
        </w:rPr>
      </w:pPr>
      <w:r>
        <w:rPr>
          <w:rFonts w:ascii="Times New Roman" w:hAnsi="Times New Roman" w:cs="Times New Roman"/>
          <w:b/>
          <w:bCs/>
          <w:sz w:val="20"/>
          <w:szCs w:val="20"/>
        </w:rPr>
        <w:t>FRACTURE REDUCTION TECHNIQUES OF LONG BONES FRACTURE IN DOGS</w:t>
      </w:r>
    </w:p>
    <w:p w14:paraId="4D6D103B">
      <w:pPr>
        <w:spacing w:after="0"/>
        <w:jc w:val="both"/>
        <w:rPr>
          <w:rFonts w:ascii="Times New Roman" w:hAnsi="Times New Roman" w:cs="Times New Roman"/>
          <w:sz w:val="20"/>
          <w:szCs w:val="20"/>
        </w:rPr>
      </w:pPr>
      <w:r>
        <w:rPr>
          <w:rFonts w:ascii="Times New Roman" w:hAnsi="Times New Roman" w:cs="Times New Roman"/>
          <w:sz w:val="20"/>
          <w:szCs w:val="20"/>
        </w:rPr>
        <w:t>The fracture reduction techniques observed were 60 open reductions (57.14%) and 45 closed reduction (42.86%) management techniques. The open reduction techniques included3 bone plating and screw (5.00%) (Figure I), 37 intramedullary pining (61.67%)(Figure II), 19 intramedullary pining with cerclage wire (31.67%) (Figure III), and 1 screws (1.67%). The closed reduction techniques included11 external coaptation (24.44%) (Figure IV), and 34 external skeletal fixation (ESF) (75.56%) (Figure V).</w:t>
      </w:r>
    </w:p>
    <w:p w14:paraId="762B5C5F">
      <w:pPr>
        <w:rPr>
          <w:rFonts w:ascii="Times New Roman" w:hAnsi="Times New Roman" w:cs="Times New Roman"/>
          <w:sz w:val="20"/>
          <w:szCs w:val="20"/>
          <w:lang w:eastAsia="en-GB"/>
        </w:rPr>
      </w:pPr>
    </w:p>
    <w:p w14:paraId="2930BF19">
      <w:pPr>
        <w:jc w:val="center"/>
        <w:rPr>
          <w:rFonts w:ascii="Times New Roman" w:hAnsi="Times New Roman" w:cs="Times New Roman"/>
          <w:sz w:val="20"/>
          <w:szCs w:val="20"/>
        </w:rPr>
      </w:pPr>
      <w:r>
        <w:rPr>
          <w:rFonts w:ascii="Times New Roman" w:hAnsi="Times New Roman" w:cs="Times New Roman"/>
          <w:sz w:val="20"/>
          <w:szCs w:val="20"/>
          <w:lang w:val="en-US"/>
        </w:rPr>
        <w:drawing>
          <wp:inline distT="0" distB="0" distL="0" distR="0">
            <wp:extent cx="3009900" cy="30289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5"/>
                    <a:srcRect b="18252"/>
                    <a:stretch>
                      <a:fillRect/>
                    </a:stretch>
                  </pic:blipFill>
                  <pic:spPr>
                    <a:xfrm>
                      <a:off x="0" y="0"/>
                      <a:ext cx="3009900" cy="3028950"/>
                    </a:xfrm>
                    <a:prstGeom prst="rect">
                      <a:avLst/>
                    </a:prstGeom>
                    <a:ln>
                      <a:noFill/>
                    </a:ln>
                  </pic:spPr>
                </pic:pic>
              </a:graphicData>
            </a:graphic>
          </wp:inline>
        </w:drawing>
      </w:r>
    </w:p>
    <w:p w14:paraId="2B15D51D">
      <w:pPr>
        <w:jc w:val="both"/>
        <w:rPr>
          <w:rFonts w:ascii="Times New Roman" w:hAnsi="Times New Roman" w:cs="Times New Roman"/>
          <w:sz w:val="20"/>
          <w:szCs w:val="20"/>
        </w:rPr>
      </w:pPr>
      <w:r>
        <w:rPr>
          <w:rFonts w:ascii="Times New Roman" w:hAnsi="Times New Roman" w:cs="Times New Roman"/>
          <w:b/>
          <w:sz w:val="20"/>
          <w:szCs w:val="20"/>
        </w:rPr>
        <w:t>Fig</w:t>
      </w:r>
      <w:r>
        <w:rPr>
          <w:rFonts w:ascii="Times New Roman" w:hAnsi="Times New Roman" w:cs="Times New Roman"/>
          <w:b/>
          <w:sz w:val="20"/>
          <w:szCs w:val="20"/>
          <w:lang w:val="en-US"/>
        </w:rPr>
        <w:t>ure</w:t>
      </w:r>
      <w:r>
        <w:rPr>
          <w:rFonts w:ascii="Times New Roman" w:hAnsi="Times New Roman" w:cs="Times New Roman"/>
          <w:b/>
          <w:sz w:val="20"/>
          <w:szCs w:val="20"/>
        </w:rPr>
        <w:t xml:space="preserve"> I: Medio-lateral view of oblique femoral fracture of a dog managed with bone plate and screws showing grade III (poor) alignment</w:t>
      </w:r>
      <w:r>
        <w:rPr>
          <w:rFonts w:ascii="Times New Roman" w:hAnsi="Times New Roman" w:cs="Times New Roman"/>
          <w:sz w:val="24"/>
          <w:szCs w:val="24"/>
        </w:rPr>
        <w:t>.</w:t>
      </w:r>
    </w:p>
    <w:p w14:paraId="74DE3F0B">
      <w:pPr>
        <w:jc w:val="center"/>
        <w:rPr>
          <w:rFonts w:ascii="Times New Roman" w:hAnsi="Times New Roman" w:cs="Times New Roman"/>
          <w:sz w:val="20"/>
          <w:szCs w:val="20"/>
        </w:rPr>
      </w:pPr>
      <w:r>
        <w:rPr>
          <w:rFonts w:ascii="Times New Roman" w:hAnsi="Times New Roman" w:cs="Times New Roman"/>
          <w:sz w:val="20"/>
          <w:szCs w:val="20"/>
          <w:lang w:val="en-US"/>
        </w:rPr>
        <w:drawing>
          <wp:inline distT="0" distB="0" distL="0" distR="0">
            <wp:extent cx="3256280" cy="2988945"/>
            <wp:effectExtent l="19050" t="0" r="663"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6"/>
                    <a:srcRect b="18638"/>
                    <a:stretch>
                      <a:fillRect/>
                    </a:stretch>
                  </pic:blipFill>
                  <pic:spPr>
                    <a:xfrm>
                      <a:off x="0" y="0"/>
                      <a:ext cx="3264177" cy="2995761"/>
                    </a:xfrm>
                    <a:prstGeom prst="rect">
                      <a:avLst/>
                    </a:prstGeom>
                    <a:ln>
                      <a:noFill/>
                    </a:ln>
                  </pic:spPr>
                </pic:pic>
              </a:graphicData>
            </a:graphic>
          </wp:inline>
        </w:drawing>
      </w:r>
    </w:p>
    <w:p w14:paraId="3A67BFBE">
      <w:pPr>
        <w:jc w:val="both"/>
        <w:rPr>
          <w:rFonts w:ascii="Times New Roman" w:hAnsi="Times New Roman" w:cs="Times New Roman"/>
          <w:b/>
          <w:sz w:val="20"/>
          <w:szCs w:val="20"/>
        </w:rPr>
      </w:pPr>
      <w:r>
        <w:rPr>
          <w:rFonts w:ascii="Times New Roman" w:hAnsi="Times New Roman" w:cs="Times New Roman"/>
          <w:b/>
          <w:sz w:val="20"/>
          <w:szCs w:val="20"/>
        </w:rPr>
        <w:t>Fig</w:t>
      </w:r>
      <w:r>
        <w:rPr>
          <w:rFonts w:ascii="Times New Roman" w:hAnsi="Times New Roman" w:cs="Times New Roman"/>
          <w:b/>
          <w:sz w:val="20"/>
          <w:szCs w:val="20"/>
          <w:lang w:val="en-US"/>
        </w:rPr>
        <w:t>ure</w:t>
      </w:r>
      <w:r>
        <w:rPr>
          <w:rFonts w:ascii="Times New Roman" w:hAnsi="Times New Roman" w:cs="Times New Roman"/>
          <w:b/>
          <w:sz w:val="20"/>
          <w:szCs w:val="20"/>
        </w:rPr>
        <w:t xml:space="preserve"> II: A-Medio-lateral view of transverse femoral fracture in a dog managed with IM pin showing grade I (good) alignment and B-Medio-lateral view of Salter Harris type I fracture of distal tibia in a dog managed with IM pin and external coaptation showing grade 0 (excellent) alignments</w:t>
      </w:r>
    </w:p>
    <w:p w14:paraId="44EA3353">
      <w:pPr>
        <w:rPr>
          <w:rFonts w:ascii="Times New Roman" w:hAnsi="Times New Roman" w:cs="Times New Roman"/>
          <w:sz w:val="20"/>
          <w:szCs w:val="20"/>
        </w:rPr>
      </w:pPr>
    </w:p>
    <w:p w14:paraId="49A9FC6F">
      <w:pPr>
        <w:rPr>
          <w:rFonts w:ascii="Times New Roman" w:hAnsi="Times New Roman" w:cs="Times New Roman"/>
          <w:sz w:val="20"/>
          <w:szCs w:val="20"/>
        </w:rPr>
      </w:pPr>
    </w:p>
    <w:p w14:paraId="41A19023">
      <w:pPr>
        <w:rPr>
          <w:rFonts w:ascii="Times New Roman" w:hAnsi="Times New Roman" w:cs="Times New Roman"/>
          <w:b/>
          <w:sz w:val="20"/>
          <w:szCs w:val="20"/>
        </w:rPr>
      </w:pPr>
      <w:r>
        <w:rPr>
          <w:rFonts w:ascii="Times New Roman" w:hAnsi="Times New Roman" w:cs="Times New Roman"/>
          <w:sz w:val="20"/>
          <w:szCs w:val="20"/>
          <w:lang w:val="en-US"/>
        </w:rPr>
        <w:drawing>
          <wp:inline distT="0" distB="0" distL="0" distR="0">
            <wp:extent cx="2926715" cy="3053080"/>
            <wp:effectExtent l="19050" t="0" r="6626"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pic:cNvPicPr>
                      <a:picLocks noChangeAspect="1"/>
                    </pic:cNvPicPr>
                  </pic:nvPicPr>
                  <pic:blipFill>
                    <a:blip r:embed="rId17"/>
                    <a:srcRect b="26542"/>
                    <a:stretch>
                      <a:fillRect/>
                    </a:stretch>
                  </pic:blipFill>
                  <pic:spPr>
                    <a:xfrm>
                      <a:off x="0" y="0"/>
                      <a:ext cx="2933230" cy="3059722"/>
                    </a:xfrm>
                    <a:prstGeom prst="rect">
                      <a:avLst/>
                    </a:prstGeom>
                    <a:ln>
                      <a:noFill/>
                    </a:ln>
                  </pic:spPr>
                </pic:pic>
              </a:graphicData>
            </a:graphic>
          </wp:inline>
        </w:drawing>
      </w:r>
    </w:p>
    <w:p w14:paraId="4129618E">
      <w:pPr>
        <w:jc w:val="both"/>
        <w:rPr>
          <w:rFonts w:ascii="Times New Roman" w:hAnsi="Times New Roman" w:cs="Times New Roman"/>
          <w:b/>
          <w:sz w:val="20"/>
          <w:szCs w:val="20"/>
        </w:rPr>
      </w:pPr>
      <w:r>
        <w:rPr>
          <w:rFonts w:ascii="Times New Roman" w:hAnsi="Times New Roman" w:cs="Times New Roman"/>
          <w:b/>
          <w:sz w:val="20"/>
          <w:szCs w:val="20"/>
        </w:rPr>
        <w:t>Fig</w:t>
      </w:r>
      <w:r>
        <w:rPr>
          <w:rFonts w:ascii="Times New Roman" w:hAnsi="Times New Roman" w:cs="Times New Roman"/>
          <w:b/>
          <w:sz w:val="20"/>
          <w:szCs w:val="20"/>
          <w:lang w:val="en-US"/>
        </w:rPr>
        <w:t>ure</w:t>
      </w:r>
      <w:r>
        <w:rPr>
          <w:rFonts w:ascii="Times New Roman" w:hAnsi="Times New Roman" w:cs="Times New Roman"/>
          <w:b/>
          <w:sz w:val="20"/>
          <w:szCs w:val="20"/>
        </w:rPr>
        <w:t xml:space="preserve"> III: Medio-lateral view of tibio-fibula fracture managed with IM pin and cerclage wire demonstrating grade 0 (excellent) alignment</w:t>
      </w:r>
    </w:p>
    <w:p w14:paraId="6D3B2B3B">
      <w:pPr>
        <w:rPr>
          <w:rFonts w:ascii="Times New Roman" w:hAnsi="Times New Roman" w:cs="Times New Roman"/>
          <w:sz w:val="20"/>
          <w:szCs w:val="20"/>
        </w:rPr>
      </w:pPr>
      <w:r>
        <w:rPr>
          <w:rFonts w:ascii="Times New Roman" w:hAnsi="Times New Roman" w:cs="Times New Roman"/>
          <w:sz w:val="20"/>
          <w:szCs w:val="20"/>
          <w:lang w:eastAsia="en-GB"/>
        </w:rPr>
        <w:pict>
          <v:shape id="Text Box 4" o:spid="_x0000_s1027" o:spt="202" type="#_x0000_t202" style="position:absolute;left:0pt;margin-left:-208.4pt;margin-top:12.15pt;height:30pt;width:27.75pt;z-index:25166028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">
            <v:path/>
            <v:fill on="f" focussize="0,0"/>
            <v:stroke on="f" weight="0.5pt" joinstyle="miter"/>
            <v:imagedata o:title=""/>
            <o:lock v:ext="edit"/>
            <v:textbox>
              <w:txbxContent>
                <w:p w14:paraId="65BB64D0">
                  <w:pPr>
                    <w:rPr>
                      <w:rFonts w:ascii="Times New Roman" w:hAnsi="Times New Roman" w:cs="Times New Roman"/>
                      <w:b/>
                      <w:color w:val="FF0000"/>
                      <w:sz w:val="24"/>
                      <w:szCs w:val="24"/>
                    </w:rPr>
                  </w:pPr>
                  <w:r>
                    <w:rPr>
                      <w:rFonts w:ascii="Times New Roman" w:hAnsi="Times New Roman" w:cs="Times New Roman"/>
                      <w:b/>
                      <w:color w:val="FF0000"/>
                      <w:sz w:val="24"/>
                      <w:szCs w:val="24"/>
                    </w:rPr>
                    <w:t>B</w:t>
                  </w:r>
                </w:p>
              </w:txbxContent>
            </v:textbox>
          </v:shape>
        </w:pict>
      </w:r>
      <w:r>
        <w:rPr>
          <w:rFonts w:ascii="Times New Roman" w:hAnsi="Times New Roman" w:cs="Times New Roman"/>
          <w:sz w:val="20"/>
          <w:szCs w:val="20"/>
          <w:lang w:eastAsia="en-GB"/>
        </w:rPr>
        <w:pict>
          <v:shape id="Text Box 3" o:spid="_x0000_s1026" o:spt="202" type="#_x0000_t202" style="position:absolute;left:0pt;margin-left:-455.9pt;margin-top:12.15pt;height:30pt;width:27.75pt;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">
            <v:path/>
            <v:fill on="f" focussize="0,0"/>
            <v:stroke on="f" weight="0.5pt" joinstyle="miter"/>
            <v:imagedata o:title=""/>
            <o:lock v:ext="edit"/>
            <v:textbox>
              <w:txbxContent>
                <w:p w14:paraId="61186083">
                  <w:pPr>
                    <w:rPr>
                      <w:rFonts w:ascii="Times New Roman" w:hAnsi="Times New Roman" w:cs="Times New Roman"/>
                      <w:b/>
                      <w:color w:val="FF0000"/>
                      <w:sz w:val="24"/>
                      <w:szCs w:val="24"/>
                    </w:rPr>
                  </w:pPr>
                  <w:r>
                    <w:rPr>
                      <w:rFonts w:ascii="Times New Roman" w:hAnsi="Times New Roman" w:cs="Times New Roman"/>
                      <w:b/>
                      <w:color w:val="FF0000"/>
                      <w:sz w:val="24"/>
                      <w:szCs w:val="24"/>
                    </w:rPr>
                    <w:t>A</w:t>
                  </w:r>
                </w:p>
              </w:txbxContent>
            </v:textbox>
          </v:shape>
        </w:pict>
      </w:r>
      <w:r>
        <w:rPr>
          <w:rFonts w:ascii="Times New Roman" w:hAnsi="Times New Roman" w:cs="Times New Roman"/>
          <w:sz w:val="20"/>
          <w:szCs w:val="20"/>
          <w:lang w:eastAsia="en-GB"/>
        </w:rPr>
        <w:pict>
          <v:shape id="Text Box 9" o:spid="_x0000_s1029" o:spt="202" type="#_x0000_t202" style="position:absolute;left:0pt;margin-left:-219.55pt;margin-top:18.85pt;height:26.25pt;width:31.5pt;z-index:25166233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">
            <v:path/>
            <v:fill on="f" focussize="0,0"/>
            <v:stroke on="f" weight="0.5pt" joinstyle="miter"/>
            <v:imagedata o:title=""/>
            <o:lock v:ext="edit"/>
            <v:textbox>
              <w:txbxContent>
                <w:p w14:paraId="2C06C3B4">
                  <w:pPr>
                    <w:rPr>
                      <w:rFonts w:ascii="Times New Roman" w:hAnsi="Times New Roman" w:cs="Times New Roman"/>
                      <w:b/>
                      <w:color w:val="FF0000"/>
                      <w:sz w:val="24"/>
                      <w:szCs w:val="24"/>
                    </w:rPr>
                  </w:pPr>
                  <w:r>
                    <w:rPr>
                      <w:rFonts w:ascii="Times New Roman" w:hAnsi="Times New Roman" w:cs="Times New Roman"/>
                      <w:b/>
                      <w:color w:val="FF0000"/>
                      <w:sz w:val="24"/>
                      <w:szCs w:val="24"/>
                    </w:rPr>
                    <w:t>B</w:t>
                  </w:r>
                </w:p>
              </w:txbxContent>
            </v:textbox>
          </v:shape>
        </w:pict>
      </w:r>
      <w:r>
        <w:rPr>
          <w:rFonts w:ascii="Times New Roman" w:hAnsi="Times New Roman" w:cs="Times New Roman"/>
          <w:sz w:val="20"/>
          <w:szCs w:val="20"/>
          <w:lang w:eastAsia="en-GB"/>
        </w:rPr>
        <w:pict>
          <v:shape id="Text Box 8" o:spid="_x0000_s1028" o:spt="202" type="#_x0000_t202" style="position:absolute;left:0pt;margin-left:-417.55pt;margin-top:19.6pt;height:26.25pt;width:31.5pt;z-index:25166131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">
            <v:path/>
            <v:fill on="f" focussize="0,0"/>
            <v:stroke on="f" weight="0.5pt" joinstyle="miter"/>
            <v:imagedata o:title=""/>
            <o:lock v:ext="edit"/>
            <v:textbox>
              <w:txbxContent>
                <w:p w14:paraId="2F2670A2">
                  <w:pPr>
                    <w:rPr>
                      <w:rFonts w:ascii="Times New Roman" w:hAnsi="Times New Roman" w:cs="Times New Roman"/>
                      <w:b/>
                      <w:color w:val="FF0000"/>
                      <w:sz w:val="24"/>
                      <w:szCs w:val="24"/>
                    </w:rPr>
                  </w:pPr>
                  <w:r>
                    <w:rPr>
                      <w:rFonts w:ascii="Times New Roman" w:hAnsi="Times New Roman" w:cs="Times New Roman"/>
                      <w:b/>
                      <w:color w:val="FF0000"/>
                      <w:sz w:val="24"/>
                      <w:szCs w:val="24"/>
                    </w:rPr>
                    <w:t>A</w:t>
                  </w:r>
                </w:p>
              </w:txbxContent>
            </v:textbox>
          </v:shape>
        </w:pict>
      </w:r>
      <w:r>
        <w:rPr>
          <w:rFonts w:ascii="Times New Roman" w:hAnsi="Times New Roman" w:cs="Times New Roman"/>
          <w:sz w:val="20"/>
          <w:szCs w:val="20"/>
          <w:lang w:val="en-US"/>
        </w:rPr>
        <w:drawing>
          <wp:inline distT="0" distB="0" distL="0" distR="0">
            <wp:extent cx="3049905" cy="347472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8"/>
                    <a:srcRect b="22681"/>
                    <a:stretch>
                      <a:fillRect/>
                    </a:stretch>
                  </pic:blipFill>
                  <pic:spPr>
                    <a:xfrm>
                      <a:off x="0" y="0"/>
                      <a:ext cx="3053339" cy="3478350"/>
                    </a:xfrm>
                    <a:prstGeom prst="rect">
                      <a:avLst/>
                    </a:prstGeom>
                    <a:ln>
                      <a:noFill/>
                    </a:ln>
                  </pic:spPr>
                </pic:pic>
              </a:graphicData>
            </a:graphic>
          </wp:inline>
        </w:drawing>
      </w:r>
    </w:p>
    <w:p w14:paraId="216FCF50">
      <w:pPr>
        <w:spacing w:line="240" w:lineRule="auto"/>
        <w:jc w:val="both"/>
        <w:rPr>
          <w:rFonts w:ascii="Times New Roman" w:hAnsi="Times New Roman" w:cs="Times New Roman"/>
          <w:b/>
          <w:sz w:val="20"/>
          <w:szCs w:val="20"/>
        </w:rPr>
      </w:pPr>
      <w:r>
        <w:rPr>
          <w:rFonts w:ascii="Times New Roman" w:hAnsi="Times New Roman" w:cs="Times New Roman"/>
          <w:b/>
          <w:sz w:val="20"/>
          <w:szCs w:val="20"/>
        </w:rPr>
        <w:t>Fig</w:t>
      </w:r>
      <w:r>
        <w:rPr>
          <w:rFonts w:ascii="Times New Roman" w:hAnsi="Times New Roman" w:cs="Times New Roman"/>
          <w:b/>
          <w:sz w:val="20"/>
          <w:szCs w:val="20"/>
          <w:lang w:val="en-US"/>
        </w:rPr>
        <w:t>ure</w:t>
      </w:r>
      <w:r>
        <w:rPr>
          <w:rFonts w:ascii="Times New Roman" w:hAnsi="Times New Roman" w:cs="Times New Roman"/>
          <w:b/>
          <w:sz w:val="20"/>
          <w:szCs w:val="20"/>
        </w:rPr>
        <w:t xml:space="preserve"> IV: A-Medio-lateral view of transverse tibio-fibula fracture in a dog, managed with cast (external coaptation) demonstrating grade III (poor) alignment. B-Medio-lateral view of oblique fracture of tibia in a dog, managed with external coaptation demonstrating grade II (fair) alignment</w:t>
      </w:r>
    </w:p>
    <w:p w14:paraId="2A0C9DD8">
      <w:pPr>
        <w:spacing w:line="240" w:lineRule="auto"/>
        <w:jc w:val="both"/>
        <w:rPr>
          <w:rFonts w:ascii="Times New Roman" w:hAnsi="Times New Roman" w:cs="Times New Roman"/>
          <w:b/>
          <w:sz w:val="20"/>
          <w:szCs w:val="20"/>
        </w:rPr>
      </w:pPr>
    </w:p>
    <w:p w14:paraId="5B1C313A">
      <w:pPr>
        <w:spacing w:after="0"/>
        <w:rPr>
          <w:rFonts w:ascii="Times New Roman" w:hAnsi="Times New Roman" w:cs="Times New Roman"/>
          <w:b/>
          <w:bCs/>
          <w:sz w:val="20"/>
          <w:szCs w:val="20"/>
        </w:rPr>
      </w:pPr>
      <w:r>
        <w:rPr>
          <w:rFonts w:ascii="Times New Roman" w:hAnsi="Times New Roman" w:cs="Times New Roman"/>
          <w:sz w:val="20"/>
          <w:szCs w:val="20"/>
          <w:lang w:eastAsia="en-GB"/>
        </w:rPr>
        <w:pict>
          <v:shape id="Text Box 13" o:spid="_x0000_s1038" o:spt="202" type="#_x0000_t202" style="position:absolute;left:0pt;margin-left:-190.45pt;margin-top:5.3pt;height:27.75pt;width:29.25pt;z-index:25166438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">
            <v:path/>
            <v:fill on="f" focussize="0,0"/>
            <v:stroke on="f" weight="0.5pt" joinstyle="miter"/>
            <v:imagedata o:title=""/>
            <o:lock v:ext="edit"/>
            <v:textbox>
              <w:txbxContent>
                <w:p w14:paraId="187FD81E">
                  <w:pPr>
                    <w:rPr>
                      <w:rFonts w:ascii="Times New Roman" w:hAnsi="Times New Roman" w:cs="Times New Roman"/>
                      <w:b/>
                      <w:color w:val="FF0000"/>
                      <w:sz w:val="24"/>
                      <w:szCs w:val="24"/>
                    </w:rPr>
                  </w:pPr>
                </w:p>
              </w:txbxContent>
            </v:textbox>
          </v:shape>
        </w:pict>
      </w:r>
      <w:r>
        <w:rPr>
          <w:rFonts w:ascii="Times New Roman" w:hAnsi="Times New Roman" w:cs="Times New Roman"/>
          <w:sz w:val="20"/>
          <w:szCs w:val="20"/>
          <w:lang w:eastAsia="en-GB"/>
        </w:rPr>
        <w:pict>
          <v:shape id="Text Box 12" o:spid="_x0000_s1037" o:spt="202" type="#_x0000_t202" style="position:absolute;left:0pt;margin-left:-376.45pt;margin-top:4.55pt;height:27.75pt;width:29.25pt;z-index:25166336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">
            <v:path/>
            <v:fill on="f" focussize="0,0"/>
            <v:stroke on="f" weight="0.5pt" joinstyle="miter"/>
            <v:imagedata o:title=""/>
            <o:lock v:ext="edit"/>
            <v:textbox>
              <w:txbxContent>
                <w:p w14:paraId="57984C4C">
                  <w:pPr>
                    <w:rPr>
                      <w:rFonts w:ascii="Times New Roman" w:hAnsi="Times New Roman" w:cs="Times New Roman"/>
                      <w:b/>
                      <w:color w:val="FF0000"/>
                      <w:sz w:val="24"/>
                      <w:szCs w:val="24"/>
                    </w:rPr>
                  </w:pPr>
                  <w:r>
                    <w:rPr>
                      <w:rFonts w:ascii="Times New Roman" w:hAnsi="Times New Roman" w:cs="Times New Roman"/>
                      <w:b/>
                      <w:color w:val="FF0000"/>
                      <w:sz w:val="24"/>
                      <w:szCs w:val="24"/>
                    </w:rPr>
                    <w:t>A</w:t>
                  </w:r>
                </w:p>
              </w:txbxContent>
            </v:textbox>
          </v:shape>
        </w:pict>
      </w:r>
      <w:r>
        <w:rPr>
          <w:rFonts w:ascii="Times New Roman" w:hAnsi="Times New Roman" w:cs="Times New Roman"/>
          <w:b/>
          <w:bCs/>
          <w:sz w:val="20"/>
          <w:szCs w:val="20"/>
        </w:rPr>
        <w:t>ALIGNMENT OF FRACTURE</w:t>
      </w:r>
    </w:p>
    <w:p w14:paraId="5F1923D7">
      <w:pPr>
        <w:rPr>
          <w:rFonts w:ascii="Times New Roman" w:hAnsi="Times New Roman" w:cs="Times New Roman"/>
          <w:sz w:val="20"/>
          <w:szCs w:val="20"/>
        </w:rPr>
      </w:pPr>
      <w:r>
        <w:rPr>
          <w:rFonts w:ascii="Times New Roman" w:hAnsi="Times New Roman" w:cs="Times New Roman"/>
          <w:sz w:val="20"/>
          <w:szCs w:val="20"/>
        </w:rPr>
        <w:t>The assessments of fracture alignment in this study were classified as</w:t>
      </w:r>
      <w:r>
        <w:rPr>
          <w:rFonts w:ascii="Times New Roman" w:hAnsi="Times New Roman" w:cs="Times New Roman"/>
          <w:sz w:val="20"/>
          <w:szCs w:val="20"/>
          <w:lang w:val="en-US"/>
        </w:rPr>
        <w:t xml:space="preserve"> </w:t>
      </w:r>
      <w:r>
        <w:rPr>
          <w:rFonts w:ascii="Times New Roman" w:hAnsi="Times New Roman" w:cs="Times New Roman"/>
          <w:sz w:val="20"/>
          <w:szCs w:val="20"/>
        </w:rPr>
        <w:t xml:space="preserve">excellent, good, fair, and poor. In open reduction techniques, there were 20.00% with grade 0 (excellent alignment), 38.33% with grade I (good alignment), 23.33% with grade II (fair alignment), and 18.33% with grade III (poor alignment). </w:t>
      </w:r>
    </w:p>
    <w:p w14:paraId="5FEA145B">
      <w:pPr>
        <w:jc w:val="center"/>
        <w:rPr>
          <w:rFonts w:ascii="Times New Roman" w:hAnsi="Times New Roman" w:cs="Times New Roman"/>
          <w:sz w:val="20"/>
          <w:szCs w:val="20"/>
        </w:rPr>
      </w:pPr>
      <w:r>
        <w:rPr>
          <w:rFonts w:ascii="Times New Roman" w:hAnsi="Times New Roman" w:cs="Times New Roman"/>
          <w:sz w:val="20"/>
          <w:szCs w:val="20"/>
          <w:lang w:val="en-US"/>
        </w:rPr>
        <w:drawing>
          <wp:inline distT="0" distB="0" distL="0" distR="0">
            <wp:extent cx="3185160" cy="3053080"/>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9"/>
                    <a:srcRect b="24267"/>
                    <a:stretch>
                      <a:fillRect/>
                    </a:stretch>
                  </pic:blipFill>
                  <pic:spPr>
                    <a:xfrm>
                      <a:off x="0" y="0"/>
                      <a:ext cx="3196679" cy="3064183"/>
                    </a:xfrm>
                    <a:prstGeom prst="rect">
                      <a:avLst/>
                    </a:prstGeom>
                    <a:ln>
                      <a:noFill/>
                    </a:ln>
                  </pic:spPr>
                </pic:pic>
              </a:graphicData>
            </a:graphic>
          </wp:inline>
        </w:drawing>
      </w:r>
    </w:p>
    <w:p w14:paraId="49915571">
      <w:pPr>
        <w:spacing w:line="240" w:lineRule="auto"/>
        <w:jc w:val="both"/>
        <w:rPr>
          <w:rFonts w:ascii="Times New Roman" w:hAnsi="Times New Roman" w:cs="Times New Roman"/>
          <w:b/>
          <w:sz w:val="20"/>
          <w:szCs w:val="20"/>
        </w:rPr>
      </w:pPr>
      <w:r>
        <w:rPr>
          <w:rFonts w:ascii="Times New Roman" w:hAnsi="Times New Roman" w:cs="Times New Roman"/>
          <w:b/>
          <w:sz w:val="20"/>
          <w:szCs w:val="20"/>
        </w:rPr>
        <w:t>Fig V: A Medio-lateral view of radio-ulna transverse fracture in a dog, managed with ESF showing grade 0 (excellent) alignment and B-Cranio-caudal view of transverse fracture of tibio-fibula managed with ESF demonstrating grade II (fair) alignment</w:t>
      </w:r>
    </w:p>
    <w:p w14:paraId="4EEEC01A">
      <w:pPr>
        <w:spacing w:after="0"/>
        <w:jc w:val="both"/>
        <w:rPr>
          <w:rFonts w:ascii="Times New Roman" w:hAnsi="Times New Roman" w:cs="Times New Roman"/>
          <w:sz w:val="20"/>
          <w:szCs w:val="20"/>
        </w:rPr>
      </w:pPr>
      <w:r>
        <w:rPr>
          <w:rFonts w:ascii="Times New Roman" w:hAnsi="Times New Roman" w:cs="Times New Roman"/>
          <w:sz w:val="20"/>
          <w:szCs w:val="20"/>
        </w:rPr>
        <w:t>Intramedullary pining with cerclage wire (Figure III) had the highest excellent alignment in open reduction fracture management as summarized in Table III.  While in closed reduction techniques, there were 24.44% with grade 0 (excellent alignment), 28.89% with grade I (good alignment), 22.22% with grade II (fair alignment), and 24.44% with grade III (poor alignment). External skeletal fixative (Figure V) had the highest excellent alignment in closed reduction fracture management as summarized in Table IV.</w:t>
      </w:r>
    </w:p>
    <w:p w14:paraId="2CBCEA1D">
      <w:pPr>
        <w:jc w:val="both"/>
        <w:rPr>
          <w:rFonts w:ascii="Times New Roman" w:hAnsi="Times New Roman" w:cs="Times New Roman"/>
          <w:sz w:val="20"/>
          <w:szCs w:val="20"/>
        </w:rPr>
      </w:pPr>
      <w:r>
        <w:rPr>
          <w:rFonts w:ascii="Times New Roman" w:hAnsi="Times New Roman" w:cs="Times New Roman"/>
          <w:sz w:val="20"/>
          <w:szCs w:val="20"/>
          <w:shd w:val="clear" w:color="auto" w:fill="FFFFFF"/>
        </w:rPr>
        <w:t>The Chi-square test revealed significant relationship between occurrence of fractures and types of fractures in Table I, and also significant relationship between frequency of fractures and long bones in Table II. The Kruskal-Wallis test revealed significant difference of alignment grades on </w:t>
      </w:r>
      <w:r>
        <w:rPr>
          <w:rFonts w:ascii="Times New Roman" w:hAnsi="Times New Roman" w:cs="Times New Roman"/>
          <w:iCs/>
          <w:sz w:val="20"/>
          <w:szCs w:val="20"/>
          <w:shd w:val="clear" w:color="auto" w:fill="FFFFFF"/>
        </w:rPr>
        <w:t>open reduction techniques</w:t>
      </w:r>
      <w:r>
        <w:rPr>
          <w:rFonts w:ascii="Times New Roman" w:hAnsi="Times New Roman" w:cs="Times New Roman"/>
          <w:sz w:val="20"/>
          <w:szCs w:val="20"/>
          <w:shd w:val="clear" w:color="auto" w:fill="FFFFFF"/>
        </w:rPr>
        <w:t xml:space="preserve">, </w:t>
      </w:r>
      <w:r>
        <w:rPr>
          <w:rFonts w:ascii="Times New Roman" w:hAnsi="Times New Roman" w:cs="Times New Roman"/>
          <w:i/>
          <w:sz w:val="20"/>
          <w:szCs w:val="20"/>
          <w:shd w:val="clear" w:color="auto" w:fill="FFFFFF"/>
        </w:rPr>
        <w:t xml:space="preserve">P </w:t>
      </w:r>
      <w:r>
        <w:rPr>
          <w:rFonts w:ascii="Times New Roman" w:hAnsi="Times New Roman" w:cs="Times New Roman"/>
          <w:sz w:val="20"/>
          <w:szCs w:val="20"/>
          <w:shd w:val="clear" w:color="auto" w:fill="FFFFFF"/>
        </w:rPr>
        <w:t>= 0.0039 in Table III. The Mann-Whitney test revealed non-significant difference of alignment grades on closed</w:t>
      </w:r>
      <w:r>
        <w:rPr>
          <w:rFonts w:ascii="Times New Roman" w:hAnsi="Times New Roman" w:cs="Times New Roman"/>
          <w:iCs/>
          <w:sz w:val="20"/>
          <w:szCs w:val="20"/>
          <w:shd w:val="clear" w:color="auto" w:fill="FFFFFF"/>
        </w:rPr>
        <w:t xml:space="preserve"> reduction techniques</w:t>
      </w:r>
      <w:r>
        <w:rPr>
          <w:rFonts w:ascii="Times New Roman" w:hAnsi="Times New Roman" w:cs="Times New Roman"/>
          <w:sz w:val="20"/>
          <w:szCs w:val="20"/>
          <w:shd w:val="clear" w:color="auto" w:fill="FFFFFF"/>
        </w:rPr>
        <w:t xml:space="preserve">, </w:t>
      </w:r>
      <w:r>
        <w:rPr>
          <w:rFonts w:ascii="Times New Roman" w:hAnsi="Times New Roman" w:cs="Times New Roman"/>
          <w:i/>
          <w:sz w:val="20"/>
          <w:szCs w:val="20"/>
          <w:shd w:val="clear" w:color="auto" w:fill="FFFFFF"/>
        </w:rPr>
        <w:t xml:space="preserve">P </w:t>
      </w:r>
      <w:r>
        <w:rPr>
          <w:rFonts w:ascii="Times New Roman" w:hAnsi="Times New Roman" w:cs="Times New Roman"/>
          <w:sz w:val="20"/>
          <w:szCs w:val="20"/>
          <w:shd w:val="clear" w:color="auto" w:fill="FFFFFF"/>
        </w:rPr>
        <w:t xml:space="preserve">&gt; 0.05 in Table IV. </w:t>
      </w:r>
    </w:p>
    <w:p w14:paraId="26E36742">
      <w:pPr>
        <w:jc w:val="both"/>
        <w:rPr>
          <w:rFonts w:ascii="Times New Roman" w:hAnsi="Times New Roman" w:cs="Times New Roman"/>
          <w:b/>
          <w:bCs/>
          <w:sz w:val="20"/>
          <w:szCs w:val="20"/>
        </w:rPr>
      </w:pPr>
    </w:p>
    <w:tbl>
      <w:tblPr>
        <w:tblStyle w:val="3"/>
        <w:tblpPr w:leftFromText="180" w:rightFromText="180" w:vertAnchor="text" w:horzAnchor="margin" w:tblpY="123"/>
        <w:tblW w:w="10118"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21"/>
        <w:gridCol w:w="1538"/>
        <w:gridCol w:w="1181"/>
        <w:gridCol w:w="1093"/>
        <w:gridCol w:w="1213"/>
        <w:gridCol w:w="972"/>
      </w:tblGrid>
      <w:tr w14:paraId="32D65C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118" w:type="dxa"/>
            <w:gridSpan w:val="6"/>
            <w:tcBorders>
              <w:top w:val="nil"/>
              <w:bottom w:val="single" w:color="auto" w:sz="4" w:space="0"/>
            </w:tcBorders>
          </w:tcPr>
          <w:p w14:paraId="3F546AA6">
            <w:pPr>
              <w:spacing w:after="0"/>
              <w:jc w:val="both"/>
              <w:rPr>
                <w:rFonts w:ascii="Times New Roman" w:hAnsi="Times New Roman" w:cs="Times New Roman"/>
                <w:b/>
                <w:sz w:val="20"/>
                <w:szCs w:val="20"/>
              </w:rPr>
            </w:pPr>
            <w:r>
              <w:rPr>
                <w:rFonts w:ascii="Times New Roman" w:hAnsi="Times New Roman" w:cs="Times New Roman"/>
                <w:b/>
                <w:bCs/>
                <w:sz w:val="20"/>
                <w:szCs w:val="20"/>
              </w:rPr>
              <w:t>TABLE III</w:t>
            </w:r>
            <w:r>
              <w:rPr>
                <w:rFonts w:ascii="Times New Roman" w:hAnsi="Times New Roman" w:cs="Times New Roman"/>
                <w:b/>
                <w:sz w:val="20"/>
                <w:szCs w:val="20"/>
              </w:rPr>
              <w:t>: EVALUATION OF ALIGNMENT IN VARIOUS OPEN REDUCTIONS FRACTURE MANAGEMEN</w:t>
            </w:r>
          </w:p>
        </w:tc>
      </w:tr>
      <w:tr w14:paraId="73D72F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121" w:type="dxa"/>
            <w:tcBorders>
              <w:top w:val="single" w:color="auto" w:sz="4" w:space="0"/>
              <w:bottom w:val="single" w:color="auto" w:sz="4" w:space="0"/>
            </w:tcBorders>
          </w:tcPr>
          <w:p w14:paraId="21AF610E">
            <w:pPr>
              <w:pStyle w:val="20"/>
              <w:rPr>
                <w:rFonts w:ascii="Times New Roman" w:hAnsi="Times New Roman" w:cs="Times New Roman"/>
                <w:b/>
                <w:sz w:val="20"/>
                <w:szCs w:val="20"/>
              </w:rPr>
            </w:pPr>
            <w:r>
              <w:rPr>
                <w:rFonts w:ascii="Times New Roman" w:hAnsi="Times New Roman" w:cs="Times New Roman"/>
                <w:b/>
                <w:sz w:val="20"/>
                <w:szCs w:val="20"/>
              </w:rPr>
              <w:t>Grades</w:t>
            </w:r>
          </w:p>
        </w:tc>
        <w:tc>
          <w:tcPr>
            <w:tcW w:w="1538" w:type="dxa"/>
            <w:tcBorders>
              <w:top w:val="single" w:color="auto" w:sz="4" w:space="0"/>
              <w:bottom w:val="single" w:color="auto" w:sz="4" w:space="0"/>
            </w:tcBorders>
          </w:tcPr>
          <w:p w14:paraId="159A1AE4">
            <w:pPr>
              <w:pStyle w:val="20"/>
              <w:rPr>
                <w:rFonts w:ascii="Times New Roman" w:hAnsi="Times New Roman" w:cs="Times New Roman"/>
                <w:b/>
                <w:sz w:val="20"/>
                <w:szCs w:val="20"/>
              </w:rPr>
            </w:pPr>
            <w:r>
              <w:rPr>
                <w:rFonts w:ascii="Times New Roman" w:hAnsi="Times New Roman" w:cs="Times New Roman"/>
                <w:b/>
                <w:sz w:val="20"/>
                <w:szCs w:val="20"/>
              </w:rPr>
              <w:t>Grade 0</w:t>
            </w:r>
          </w:p>
          <w:p w14:paraId="4EE94EA6">
            <w:pPr>
              <w:pStyle w:val="20"/>
              <w:rPr>
                <w:rFonts w:ascii="Times New Roman" w:hAnsi="Times New Roman" w:cs="Times New Roman"/>
                <w:b/>
                <w:sz w:val="20"/>
                <w:szCs w:val="20"/>
              </w:rPr>
            </w:pPr>
            <w:r>
              <w:rPr>
                <w:rFonts w:ascii="Times New Roman" w:hAnsi="Times New Roman" w:cs="Times New Roman"/>
                <w:b/>
                <w:sz w:val="20"/>
                <w:szCs w:val="20"/>
              </w:rPr>
              <w:t>(Excellent)</w:t>
            </w:r>
          </w:p>
        </w:tc>
        <w:tc>
          <w:tcPr>
            <w:tcW w:w="1181" w:type="dxa"/>
            <w:tcBorders>
              <w:top w:val="single" w:color="auto" w:sz="4" w:space="0"/>
              <w:bottom w:val="single" w:color="auto" w:sz="4" w:space="0"/>
            </w:tcBorders>
          </w:tcPr>
          <w:p w14:paraId="0A75965E">
            <w:pPr>
              <w:pStyle w:val="20"/>
              <w:rPr>
                <w:rFonts w:ascii="Times New Roman" w:hAnsi="Times New Roman" w:cs="Times New Roman"/>
                <w:b/>
                <w:sz w:val="20"/>
                <w:szCs w:val="20"/>
              </w:rPr>
            </w:pPr>
            <w:r>
              <w:rPr>
                <w:rFonts w:ascii="Times New Roman" w:hAnsi="Times New Roman" w:cs="Times New Roman"/>
                <w:b/>
                <w:sz w:val="20"/>
                <w:szCs w:val="20"/>
              </w:rPr>
              <w:t>Grade I</w:t>
            </w:r>
          </w:p>
          <w:p w14:paraId="423694EA">
            <w:pPr>
              <w:pStyle w:val="20"/>
              <w:rPr>
                <w:rFonts w:ascii="Times New Roman" w:hAnsi="Times New Roman" w:cs="Times New Roman"/>
                <w:b/>
                <w:sz w:val="20"/>
                <w:szCs w:val="20"/>
              </w:rPr>
            </w:pPr>
            <w:r>
              <w:rPr>
                <w:rFonts w:ascii="Times New Roman" w:hAnsi="Times New Roman" w:cs="Times New Roman"/>
                <w:b/>
                <w:sz w:val="20"/>
                <w:szCs w:val="20"/>
              </w:rPr>
              <w:t>(Good)</w:t>
            </w:r>
          </w:p>
        </w:tc>
        <w:tc>
          <w:tcPr>
            <w:tcW w:w="1093" w:type="dxa"/>
            <w:tcBorders>
              <w:top w:val="single" w:color="auto" w:sz="4" w:space="0"/>
              <w:bottom w:val="single" w:color="auto" w:sz="4" w:space="0"/>
            </w:tcBorders>
          </w:tcPr>
          <w:p w14:paraId="5B1B4D58">
            <w:pPr>
              <w:pStyle w:val="20"/>
              <w:rPr>
                <w:rFonts w:ascii="Times New Roman" w:hAnsi="Times New Roman" w:cs="Times New Roman"/>
                <w:b/>
                <w:sz w:val="20"/>
                <w:szCs w:val="20"/>
              </w:rPr>
            </w:pPr>
            <w:r>
              <w:rPr>
                <w:rFonts w:ascii="Times New Roman" w:hAnsi="Times New Roman" w:cs="Times New Roman"/>
                <w:b/>
                <w:sz w:val="20"/>
                <w:szCs w:val="20"/>
              </w:rPr>
              <w:t>Grade II</w:t>
            </w:r>
          </w:p>
          <w:p w14:paraId="15FB2996">
            <w:pPr>
              <w:pStyle w:val="20"/>
              <w:rPr>
                <w:rFonts w:ascii="Times New Roman" w:hAnsi="Times New Roman" w:cs="Times New Roman"/>
                <w:b/>
                <w:sz w:val="20"/>
                <w:szCs w:val="20"/>
              </w:rPr>
            </w:pPr>
            <w:r>
              <w:rPr>
                <w:rFonts w:ascii="Times New Roman" w:hAnsi="Times New Roman" w:cs="Times New Roman"/>
                <w:b/>
                <w:sz w:val="20"/>
                <w:szCs w:val="20"/>
              </w:rPr>
              <w:t>(Fair)</w:t>
            </w:r>
          </w:p>
        </w:tc>
        <w:tc>
          <w:tcPr>
            <w:tcW w:w="1213" w:type="dxa"/>
            <w:tcBorders>
              <w:top w:val="single" w:color="auto" w:sz="4" w:space="0"/>
              <w:bottom w:val="single" w:color="auto" w:sz="4" w:space="0"/>
            </w:tcBorders>
          </w:tcPr>
          <w:p w14:paraId="2F0C07AE">
            <w:pPr>
              <w:pStyle w:val="20"/>
              <w:rPr>
                <w:rFonts w:ascii="Times New Roman" w:hAnsi="Times New Roman" w:cs="Times New Roman"/>
                <w:b/>
                <w:sz w:val="20"/>
                <w:szCs w:val="20"/>
              </w:rPr>
            </w:pPr>
            <w:r>
              <w:rPr>
                <w:rFonts w:ascii="Times New Roman" w:hAnsi="Times New Roman" w:cs="Times New Roman"/>
                <w:b/>
                <w:sz w:val="20"/>
                <w:szCs w:val="20"/>
              </w:rPr>
              <w:t>Grade III</w:t>
            </w:r>
          </w:p>
          <w:p w14:paraId="29BE821D">
            <w:pPr>
              <w:pStyle w:val="20"/>
              <w:rPr>
                <w:rFonts w:ascii="Times New Roman" w:hAnsi="Times New Roman" w:cs="Times New Roman"/>
                <w:b/>
                <w:sz w:val="20"/>
                <w:szCs w:val="20"/>
              </w:rPr>
            </w:pPr>
            <w:r>
              <w:rPr>
                <w:rFonts w:ascii="Times New Roman" w:hAnsi="Times New Roman" w:cs="Times New Roman"/>
                <w:b/>
                <w:sz w:val="20"/>
                <w:szCs w:val="20"/>
              </w:rPr>
              <w:t>(Poor)</w:t>
            </w:r>
          </w:p>
        </w:tc>
        <w:tc>
          <w:tcPr>
            <w:tcW w:w="972" w:type="dxa"/>
            <w:tcBorders>
              <w:top w:val="single" w:color="auto" w:sz="4" w:space="0"/>
              <w:bottom w:val="single" w:color="auto" w:sz="4" w:space="0"/>
            </w:tcBorders>
          </w:tcPr>
          <w:p w14:paraId="12D204E2">
            <w:pPr>
              <w:pStyle w:val="20"/>
              <w:rPr>
                <w:rFonts w:ascii="Times New Roman" w:hAnsi="Times New Roman" w:cs="Times New Roman"/>
                <w:b/>
                <w:sz w:val="20"/>
                <w:szCs w:val="20"/>
              </w:rPr>
            </w:pPr>
            <w:r>
              <w:rPr>
                <w:rFonts w:ascii="Times New Roman" w:hAnsi="Times New Roman" w:cs="Times New Roman"/>
                <w:b/>
                <w:sz w:val="20"/>
                <w:szCs w:val="20"/>
              </w:rPr>
              <w:t>Total</w:t>
            </w:r>
          </w:p>
        </w:tc>
      </w:tr>
      <w:tr w14:paraId="7641DC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4121" w:type="dxa"/>
            <w:tcBorders>
              <w:top w:val="single" w:color="auto" w:sz="4" w:space="0"/>
            </w:tcBorders>
          </w:tcPr>
          <w:p w14:paraId="41FB7491">
            <w:pPr>
              <w:spacing w:line="240" w:lineRule="auto"/>
              <w:rPr>
                <w:rFonts w:ascii="Times New Roman" w:hAnsi="Times New Roman" w:cs="Times New Roman"/>
                <w:sz w:val="20"/>
                <w:szCs w:val="20"/>
              </w:rPr>
            </w:pPr>
            <w:r>
              <w:rPr>
                <w:rFonts w:ascii="Times New Roman" w:hAnsi="Times New Roman" w:cs="Times New Roman"/>
                <w:sz w:val="20"/>
                <w:szCs w:val="20"/>
              </w:rPr>
              <w:t>Bone Plate And Screw</w:t>
            </w:r>
          </w:p>
        </w:tc>
        <w:tc>
          <w:tcPr>
            <w:tcW w:w="1538" w:type="dxa"/>
            <w:tcBorders>
              <w:top w:val="single" w:color="auto" w:sz="4" w:space="0"/>
            </w:tcBorders>
          </w:tcPr>
          <w:p w14:paraId="5347310B">
            <w:pPr>
              <w:spacing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181" w:type="dxa"/>
            <w:tcBorders>
              <w:top w:val="single" w:color="auto" w:sz="4" w:space="0"/>
            </w:tcBorders>
          </w:tcPr>
          <w:p w14:paraId="1E3CBD66">
            <w:pPr>
              <w:spacing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093" w:type="dxa"/>
            <w:tcBorders>
              <w:top w:val="single" w:color="auto" w:sz="4" w:space="0"/>
            </w:tcBorders>
          </w:tcPr>
          <w:p w14:paraId="48001D3D">
            <w:pPr>
              <w:spacing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213" w:type="dxa"/>
            <w:tcBorders>
              <w:top w:val="single" w:color="auto" w:sz="4" w:space="0"/>
            </w:tcBorders>
          </w:tcPr>
          <w:p w14:paraId="241D9485">
            <w:pPr>
              <w:spacing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972" w:type="dxa"/>
            <w:tcBorders>
              <w:top w:val="single" w:color="auto" w:sz="4" w:space="0"/>
            </w:tcBorders>
          </w:tcPr>
          <w:p w14:paraId="6C3678E0">
            <w:pPr>
              <w:spacing w:line="240" w:lineRule="auto"/>
              <w:jc w:val="center"/>
              <w:rPr>
                <w:rFonts w:ascii="Times New Roman" w:hAnsi="Times New Roman" w:cs="Times New Roman"/>
                <w:sz w:val="20"/>
                <w:szCs w:val="20"/>
              </w:rPr>
            </w:pPr>
            <w:r>
              <w:rPr>
                <w:rFonts w:ascii="Times New Roman" w:hAnsi="Times New Roman" w:cs="Times New Roman"/>
                <w:sz w:val="20"/>
                <w:szCs w:val="20"/>
              </w:rPr>
              <w:t>3</w:t>
            </w:r>
          </w:p>
        </w:tc>
      </w:tr>
      <w:tr w14:paraId="04FCD3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4121" w:type="dxa"/>
          </w:tcPr>
          <w:p w14:paraId="594A304F">
            <w:pPr>
              <w:spacing w:line="240" w:lineRule="auto"/>
              <w:rPr>
                <w:rFonts w:ascii="Times New Roman" w:hAnsi="Times New Roman" w:cs="Times New Roman"/>
                <w:sz w:val="20"/>
                <w:szCs w:val="20"/>
              </w:rPr>
            </w:pPr>
            <w:r>
              <w:rPr>
                <w:rFonts w:ascii="Times New Roman" w:hAnsi="Times New Roman" w:cs="Times New Roman"/>
                <w:sz w:val="20"/>
                <w:szCs w:val="20"/>
              </w:rPr>
              <w:t>Intramedullary Pin</w:t>
            </w:r>
          </w:p>
        </w:tc>
        <w:tc>
          <w:tcPr>
            <w:tcW w:w="1538" w:type="dxa"/>
          </w:tcPr>
          <w:p w14:paraId="6ECEB9C1">
            <w:pPr>
              <w:spacing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181" w:type="dxa"/>
          </w:tcPr>
          <w:p w14:paraId="42497922">
            <w:pPr>
              <w:spacing w:line="240"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1093" w:type="dxa"/>
          </w:tcPr>
          <w:p w14:paraId="47047A5B">
            <w:pPr>
              <w:spacing w:line="240"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1213" w:type="dxa"/>
          </w:tcPr>
          <w:p w14:paraId="64F140E7">
            <w:pPr>
              <w:spacing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972" w:type="dxa"/>
          </w:tcPr>
          <w:p w14:paraId="46A9A0DE">
            <w:pPr>
              <w:spacing w:line="240" w:lineRule="auto"/>
              <w:jc w:val="center"/>
              <w:rPr>
                <w:rFonts w:ascii="Times New Roman" w:hAnsi="Times New Roman" w:cs="Times New Roman"/>
                <w:sz w:val="20"/>
                <w:szCs w:val="20"/>
              </w:rPr>
            </w:pPr>
            <w:r>
              <w:rPr>
                <w:rFonts w:ascii="Times New Roman" w:hAnsi="Times New Roman" w:cs="Times New Roman"/>
                <w:sz w:val="20"/>
                <w:szCs w:val="20"/>
              </w:rPr>
              <w:t>37</w:t>
            </w:r>
          </w:p>
        </w:tc>
      </w:tr>
      <w:tr w14:paraId="1E45A6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4121" w:type="dxa"/>
          </w:tcPr>
          <w:p w14:paraId="6F779FF7">
            <w:pPr>
              <w:spacing w:line="240" w:lineRule="auto"/>
              <w:rPr>
                <w:rFonts w:ascii="Times New Roman" w:hAnsi="Times New Roman" w:cs="Times New Roman"/>
                <w:sz w:val="20"/>
                <w:szCs w:val="20"/>
              </w:rPr>
            </w:pPr>
            <w:r>
              <w:rPr>
                <w:rFonts w:ascii="Times New Roman" w:hAnsi="Times New Roman" w:cs="Times New Roman"/>
                <w:sz w:val="20"/>
                <w:szCs w:val="20"/>
              </w:rPr>
              <w:t>Intramedullary Pin &amp; Cerclage wire</w:t>
            </w:r>
          </w:p>
        </w:tc>
        <w:tc>
          <w:tcPr>
            <w:tcW w:w="1538" w:type="dxa"/>
          </w:tcPr>
          <w:p w14:paraId="0EF99FB8">
            <w:pPr>
              <w:spacing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1181" w:type="dxa"/>
          </w:tcPr>
          <w:p w14:paraId="4CB2D77A">
            <w:pPr>
              <w:spacing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1093" w:type="dxa"/>
          </w:tcPr>
          <w:p w14:paraId="2DDD554F">
            <w:pPr>
              <w:spacing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213" w:type="dxa"/>
          </w:tcPr>
          <w:p w14:paraId="0D2BF596">
            <w:pPr>
              <w:spacing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72" w:type="dxa"/>
          </w:tcPr>
          <w:p w14:paraId="47FA88AD">
            <w:pPr>
              <w:spacing w:line="240" w:lineRule="auto"/>
              <w:jc w:val="center"/>
              <w:rPr>
                <w:rFonts w:ascii="Times New Roman" w:hAnsi="Times New Roman" w:cs="Times New Roman"/>
                <w:sz w:val="20"/>
                <w:szCs w:val="20"/>
              </w:rPr>
            </w:pPr>
            <w:r>
              <w:rPr>
                <w:rFonts w:ascii="Times New Roman" w:hAnsi="Times New Roman" w:cs="Times New Roman"/>
                <w:sz w:val="20"/>
                <w:szCs w:val="20"/>
              </w:rPr>
              <w:t>19</w:t>
            </w:r>
          </w:p>
        </w:tc>
      </w:tr>
      <w:tr w14:paraId="0BE7C4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4121" w:type="dxa"/>
            <w:tcBorders>
              <w:bottom w:val="single" w:color="auto" w:sz="4" w:space="0"/>
            </w:tcBorders>
          </w:tcPr>
          <w:p w14:paraId="1D63BA46">
            <w:pPr>
              <w:spacing w:line="240" w:lineRule="auto"/>
              <w:rPr>
                <w:rFonts w:ascii="Times New Roman" w:hAnsi="Times New Roman" w:cs="Times New Roman"/>
                <w:sz w:val="20"/>
                <w:szCs w:val="20"/>
              </w:rPr>
            </w:pPr>
            <w:r>
              <w:rPr>
                <w:rFonts w:ascii="Times New Roman" w:hAnsi="Times New Roman" w:cs="Times New Roman"/>
                <w:sz w:val="20"/>
                <w:szCs w:val="20"/>
              </w:rPr>
              <w:t>Screws</w:t>
            </w:r>
          </w:p>
        </w:tc>
        <w:tc>
          <w:tcPr>
            <w:tcW w:w="1538" w:type="dxa"/>
            <w:tcBorders>
              <w:bottom w:val="single" w:color="auto" w:sz="4" w:space="0"/>
            </w:tcBorders>
          </w:tcPr>
          <w:p w14:paraId="19189B85">
            <w:pPr>
              <w:spacing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181" w:type="dxa"/>
            <w:tcBorders>
              <w:bottom w:val="single" w:color="auto" w:sz="4" w:space="0"/>
            </w:tcBorders>
          </w:tcPr>
          <w:p w14:paraId="095BA141">
            <w:pPr>
              <w:spacing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093" w:type="dxa"/>
            <w:tcBorders>
              <w:bottom w:val="single" w:color="auto" w:sz="4" w:space="0"/>
            </w:tcBorders>
          </w:tcPr>
          <w:p w14:paraId="2EE67A12">
            <w:pPr>
              <w:spacing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213" w:type="dxa"/>
            <w:tcBorders>
              <w:bottom w:val="single" w:color="auto" w:sz="4" w:space="0"/>
            </w:tcBorders>
          </w:tcPr>
          <w:p w14:paraId="6F3C0D9A">
            <w:pPr>
              <w:spacing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972" w:type="dxa"/>
            <w:tcBorders>
              <w:bottom w:val="single" w:color="auto" w:sz="4" w:space="0"/>
            </w:tcBorders>
          </w:tcPr>
          <w:p w14:paraId="34F94F2C">
            <w:pPr>
              <w:spacing w:line="240" w:lineRule="auto"/>
              <w:jc w:val="center"/>
              <w:rPr>
                <w:rFonts w:ascii="Times New Roman" w:hAnsi="Times New Roman" w:cs="Times New Roman"/>
                <w:sz w:val="20"/>
                <w:szCs w:val="20"/>
              </w:rPr>
            </w:pPr>
            <w:r>
              <w:rPr>
                <w:rFonts w:ascii="Times New Roman" w:hAnsi="Times New Roman" w:cs="Times New Roman"/>
                <w:sz w:val="20"/>
                <w:szCs w:val="20"/>
              </w:rPr>
              <w:t>1</w:t>
            </w:r>
          </w:p>
        </w:tc>
      </w:tr>
      <w:tr w14:paraId="3E39B1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4121" w:type="dxa"/>
            <w:tcBorders>
              <w:top w:val="single" w:color="auto" w:sz="4" w:space="0"/>
            </w:tcBorders>
          </w:tcPr>
          <w:p w14:paraId="67021DA4">
            <w:pPr>
              <w:spacing w:line="240" w:lineRule="auto"/>
              <w:rPr>
                <w:rFonts w:ascii="Times New Roman" w:hAnsi="Times New Roman" w:cs="Times New Roman"/>
                <w:sz w:val="20"/>
                <w:szCs w:val="20"/>
              </w:rPr>
            </w:pPr>
            <w:r>
              <w:rPr>
                <w:rFonts w:ascii="Times New Roman" w:hAnsi="Times New Roman" w:cs="Times New Roman"/>
                <w:sz w:val="20"/>
                <w:szCs w:val="20"/>
              </w:rPr>
              <w:t xml:space="preserve">  Total</w:t>
            </w:r>
          </w:p>
        </w:tc>
        <w:tc>
          <w:tcPr>
            <w:tcW w:w="1538" w:type="dxa"/>
            <w:tcBorders>
              <w:top w:val="single" w:color="auto" w:sz="4" w:space="0"/>
            </w:tcBorders>
          </w:tcPr>
          <w:p w14:paraId="3F44EC94">
            <w:pPr>
              <w:spacing w:line="240" w:lineRule="auto"/>
              <w:jc w:val="center"/>
              <w:rPr>
                <w:rFonts w:ascii="Times New Roman" w:hAnsi="Times New Roman" w:cs="Times New Roman"/>
                <w:sz w:val="20"/>
                <w:szCs w:val="20"/>
              </w:rPr>
            </w:pPr>
            <w:r>
              <w:rPr>
                <w:rFonts w:ascii="Times New Roman" w:hAnsi="Times New Roman" w:cs="Times New Roman"/>
                <w:sz w:val="20"/>
                <w:szCs w:val="20"/>
              </w:rPr>
              <w:t>12</w:t>
            </w:r>
          </w:p>
        </w:tc>
        <w:tc>
          <w:tcPr>
            <w:tcW w:w="1181" w:type="dxa"/>
            <w:tcBorders>
              <w:top w:val="single" w:color="auto" w:sz="4" w:space="0"/>
            </w:tcBorders>
          </w:tcPr>
          <w:p w14:paraId="7C20E119">
            <w:pPr>
              <w:spacing w:line="240" w:lineRule="auto"/>
              <w:jc w:val="center"/>
              <w:rPr>
                <w:rFonts w:ascii="Times New Roman" w:hAnsi="Times New Roman" w:cs="Times New Roman"/>
                <w:sz w:val="20"/>
                <w:szCs w:val="20"/>
              </w:rPr>
            </w:pPr>
            <w:r>
              <w:rPr>
                <w:rFonts w:ascii="Times New Roman" w:hAnsi="Times New Roman" w:cs="Times New Roman"/>
                <w:sz w:val="20"/>
                <w:szCs w:val="20"/>
              </w:rPr>
              <w:t>23</w:t>
            </w:r>
          </w:p>
        </w:tc>
        <w:tc>
          <w:tcPr>
            <w:tcW w:w="1093" w:type="dxa"/>
            <w:tcBorders>
              <w:top w:val="single" w:color="auto" w:sz="4" w:space="0"/>
            </w:tcBorders>
          </w:tcPr>
          <w:p w14:paraId="22C458DA">
            <w:pPr>
              <w:spacing w:line="240" w:lineRule="auto"/>
              <w:jc w:val="center"/>
              <w:rPr>
                <w:rFonts w:ascii="Times New Roman" w:hAnsi="Times New Roman" w:cs="Times New Roman"/>
                <w:sz w:val="20"/>
                <w:szCs w:val="20"/>
              </w:rPr>
            </w:pPr>
            <w:r>
              <w:rPr>
                <w:rFonts w:ascii="Times New Roman" w:hAnsi="Times New Roman" w:cs="Times New Roman"/>
                <w:sz w:val="20"/>
                <w:szCs w:val="20"/>
              </w:rPr>
              <w:t>14</w:t>
            </w:r>
          </w:p>
        </w:tc>
        <w:tc>
          <w:tcPr>
            <w:tcW w:w="1213" w:type="dxa"/>
            <w:tcBorders>
              <w:top w:val="single" w:color="auto" w:sz="4" w:space="0"/>
            </w:tcBorders>
          </w:tcPr>
          <w:p w14:paraId="3DADBD1D">
            <w:pPr>
              <w:spacing w:line="240"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972" w:type="dxa"/>
            <w:tcBorders>
              <w:top w:val="single" w:color="auto" w:sz="4" w:space="0"/>
            </w:tcBorders>
          </w:tcPr>
          <w:p w14:paraId="3567E4D1">
            <w:pPr>
              <w:spacing w:line="240" w:lineRule="auto"/>
              <w:jc w:val="center"/>
              <w:rPr>
                <w:rFonts w:ascii="Times New Roman" w:hAnsi="Times New Roman" w:cs="Times New Roman"/>
                <w:sz w:val="20"/>
                <w:szCs w:val="20"/>
              </w:rPr>
            </w:pPr>
            <w:r>
              <w:rPr>
                <w:rFonts w:ascii="Times New Roman" w:hAnsi="Times New Roman" w:cs="Times New Roman"/>
                <w:sz w:val="20"/>
                <w:szCs w:val="20"/>
              </w:rPr>
              <w:t>60</w:t>
            </w:r>
          </w:p>
        </w:tc>
      </w:tr>
    </w:tbl>
    <w:p w14:paraId="55D7BDA3">
      <w:pPr>
        <w:jc w:val="both"/>
        <w:rPr>
          <w:rFonts w:ascii="Times New Roman" w:hAnsi="Times New Roman" w:cs="Times New Roman"/>
          <w:b/>
          <w:bCs/>
          <w:sz w:val="20"/>
          <w:szCs w:val="20"/>
        </w:rPr>
      </w:pPr>
    </w:p>
    <w:tbl>
      <w:tblPr>
        <w:tblStyle w:val="3"/>
        <w:tblpPr w:leftFromText="180" w:rightFromText="180" w:vertAnchor="text" w:horzAnchor="margin" w:tblpY="295"/>
        <w:tblOverlap w:val="never"/>
        <w:tblW w:w="10237"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17"/>
        <w:gridCol w:w="1383"/>
        <w:gridCol w:w="1222"/>
        <w:gridCol w:w="1222"/>
        <w:gridCol w:w="1222"/>
        <w:gridCol w:w="1071"/>
      </w:tblGrid>
      <w:tr w14:paraId="597058A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 w:hRule="atLeast"/>
        </w:trPr>
        <w:tc>
          <w:tcPr>
            <w:tcW w:w="10237" w:type="dxa"/>
            <w:gridSpan w:val="6"/>
            <w:tcBorders>
              <w:top w:val="nil"/>
              <w:bottom w:val="single" w:color="auto" w:sz="4" w:space="0"/>
            </w:tcBorders>
          </w:tcPr>
          <w:p w14:paraId="6C5E50C1">
            <w:pPr>
              <w:pStyle w:val="20"/>
              <w:spacing w:line="276" w:lineRule="auto"/>
              <w:rPr>
                <w:rFonts w:ascii="Times New Roman" w:hAnsi="Times New Roman" w:cs="Times New Roman"/>
                <w:sz w:val="20"/>
                <w:szCs w:val="20"/>
              </w:rPr>
            </w:pPr>
            <w:r>
              <w:rPr>
                <w:rFonts w:ascii="Times New Roman" w:hAnsi="Times New Roman" w:cs="Times New Roman"/>
                <w:b/>
                <w:bCs/>
                <w:sz w:val="20"/>
                <w:szCs w:val="20"/>
              </w:rPr>
              <w:t>TABLE IV</w:t>
            </w:r>
            <w:r>
              <w:rPr>
                <w:rFonts w:ascii="Times New Roman" w:hAnsi="Times New Roman" w:cs="Times New Roman"/>
                <w:b/>
                <w:sz w:val="20"/>
                <w:szCs w:val="20"/>
              </w:rPr>
              <w:t>: EVALUATION OF ALIGNMENT IN CLOSED REDUCTION FRACTURE MANAGEMENT</w:t>
            </w:r>
          </w:p>
        </w:tc>
      </w:tr>
      <w:tr w14:paraId="738B10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4117" w:type="dxa"/>
            <w:tcBorders>
              <w:top w:val="single" w:color="auto" w:sz="4" w:space="0"/>
              <w:bottom w:val="single" w:color="auto" w:sz="4" w:space="0"/>
            </w:tcBorders>
          </w:tcPr>
          <w:p w14:paraId="3AE50205">
            <w:pPr>
              <w:pStyle w:val="20"/>
              <w:spacing w:line="276" w:lineRule="auto"/>
              <w:rPr>
                <w:rFonts w:ascii="Times New Roman" w:hAnsi="Times New Roman" w:cs="Times New Roman"/>
                <w:b/>
                <w:sz w:val="20"/>
                <w:szCs w:val="20"/>
              </w:rPr>
            </w:pPr>
            <w:r>
              <w:rPr>
                <w:rFonts w:ascii="Times New Roman" w:hAnsi="Times New Roman" w:cs="Times New Roman"/>
                <w:b/>
                <w:sz w:val="20"/>
                <w:szCs w:val="20"/>
              </w:rPr>
              <w:t>Grades</w:t>
            </w:r>
          </w:p>
        </w:tc>
        <w:tc>
          <w:tcPr>
            <w:tcW w:w="1383" w:type="dxa"/>
            <w:tcBorders>
              <w:top w:val="single" w:color="auto" w:sz="4" w:space="0"/>
              <w:bottom w:val="single" w:color="auto" w:sz="4" w:space="0"/>
            </w:tcBorders>
          </w:tcPr>
          <w:p w14:paraId="197EE478">
            <w:pPr>
              <w:pStyle w:val="20"/>
              <w:spacing w:line="276" w:lineRule="auto"/>
              <w:rPr>
                <w:rFonts w:ascii="Times New Roman" w:hAnsi="Times New Roman" w:cs="Times New Roman"/>
                <w:b/>
                <w:sz w:val="20"/>
                <w:szCs w:val="20"/>
              </w:rPr>
            </w:pPr>
            <w:r>
              <w:rPr>
                <w:rFonts w:ascii="Times New Roman" w:hAnsi="Times New Roman" w:cs="Times New Roman"/>
                <w:b/>
                <w:sz w:val="20"/>
                <w:szCs w:val="20"/>
              </w:rPr>
              <w:t>Grade 0</w:t>
            </w:r>
          </w:p>
          <w:p w14:paraId="6F79BF67">
            <w:pPr>
              <w:pStyle w:val="20"/>
              <w:spacing w:line="276" w:lineRule="auto"/>
              <w:rPr>
                <w:rFonts w:ascii="Times New Roman" w:hAnsi="Times New Roman" w:cs="Times New Roman"/>
                <w:b/>
                <w:sz w:val="20"/>
                <w:szCs w:val="20"/>
              </w:rPr>
            </w:pPr>
            <w:r>
              <w:rPr>
                <w:rFonts w:ascii="Times New Roman" w:hAnsi="Times New Roman" w:cs="Times New Roman"/>
                <w:b/>
                <w:sz w:val="20"/>
                <w:szCs w:val="20"/>
              </w:rPr>
              <w:t>(Excellent)</w:t>
            </w:r>
          </w:p>
        </w:tc>
        <w:tc>
          <w:tcPr>
            <w:tcW w:w="1222" w:type="dxa"/>
            <w:tcBorders>
              <w:top w:val="single" w:color="auto" w:sz="4" w:space="0"/>
              <w:bottom w:val="single" w:color="auto" w:sz="4" w:space="0"/>
            </w:tcBorders>
          </w:tcPr>
          <w:p w14:paraId="4D844323">
            <w:pPr>
              <w:pStyle w:val="20"/>
              <w:spacing w:line="276" w:lineRule="auto"/>
              <w:rPr>
                <w:rFonts w:ascii="Times New Roman" w:hAnsi="Times New Roman" w:cs="Times New Roman"/>
                <w:sz w:val="20"/>
                <w:szCs w:val="20"/>
              </w:rPr>
            </w:pPr>
            <w:r>
              <w:rPr>
                <w:rFonts w:ascii="Times New Roman" w:hAnsi="Times New Roman" w:cs="Times New Roman"/>
                <w:sz w:val="20"/>
                <w:szCs w:val="20"/>
              </w:rPr>
              <w:t>Grade I</w:t>
            </w:r>
          </w:p>
          <w:p w14:paraId="77D69513">
            <w:pPr>
              <w:pStyle w:val="20"/>
              <w:spacing w:line="276" w:lineRule="auto"/>
              <w:rPr>
                <w:rFonts w:ascii="Times New Roman" w:hAnsi="Times New Roman" w:cs="Times New Roman"/>
                <w:sz w:val="20"/>
                <w:szCs w:val="20"/>
              </w:rPr>
            </w:pPr>
            <w:r>
              <w:rPr>
                <w:rFonts w:ascii="Times New Roman" w:hAnsi="Times New Roman" w:cs="Times New Roman"/>
                <w:sz w:val="20"/>
                <w:szCs w:val="20"/>
              </w:rPr>
              <w:t>(Good)</w:t>
            </w:r>
          </w:p>
        </w:tc>
        <w:tc>
          <w:tcPr>
            <w:tcW w:w="1222" w:type="dxa"/>
            <w:tcBorders>
              <w:top w:val="single" w:color="auto" w:sz="4" w:space="0"/>
              <w:bottom w:val="single" w:color="auto" w:sz="4" w:space="0"/>
            </w:tcBorders>
          </w:tcPr>
          <w:p w14:paraId="13963DD5">
            <w:pPr>
              <w:pStyle w:val="20"/>
              <w:spacing w:line="276" w:lineRule="auto"/>
              <w:rPr>
                <w:rFonts w:ascii="Times New Roman" w:hAnsi="Times New Roman" w:cs="Times New Roman"/>
                <w:sz w:val="20"/>
                <w:szCs w:val="20"/>
              </w:rPr>
            </w:pPr>
            <w:r>
              <w:rPr>
                <w:rFonts w:ascii="Times New Roman" w:hAnsi="Times New Roman" w:cs="Times New Roman"/>
                <w:sz w:val="20"/>
                <w:szCs w:val="20"/>
              </w:rPr>
              <w:t>Grade II</w:t>
            </w:r>
          </w:p>
          <w:p w14:paraId="7D53CEA6">
            <w:pPr>
              <w:pStyle w:val="20"/>
              <w:spacing w:line="276" w:lineRule="auto"/>
              <w:rPr>
                <w:rFonts w:ascii="Times New Roman" w:hAnsi="Times New Roman" w:cs="Times New Roman"/>
                <w:sz w:val="20"/>
                <w:szCs w:val="20"/>
              </w:rPr>
            </w:pPr>
            <w:r>
              <w:rPr>
                <w:rFonts w:ascii="Times New Roman" w:hAnsi="Times New Roman" w:cs="Times New Roman"/>
                <w:sz w:val="20"/>
                <w:szCs w:val="20"/>
              </w:rPr>
              <w:t>(Fair)</w:t>
            </w:r>
          </w:p>
        </w:tc>
        <w:tc>
          <w:tcPr>
            <w:tcW w:w="1222" w:type="dxa"/>
            <w:tcBorders>
              <w:top w:val="single" w:color="auto" w:sz="4" w:space="0"/>
              <w:bottom w:val="single" w:color="auto" w:sz="4" w:space="0"/>
            </w:tcBorders>
          </w:tcPr>
          <w:p w14:paraId="3F9B2F09">
            <w:pPr>
              <w:pStyle w:val="20"/>
              <w:spacing w:line="276" w:lineRule="auto"/>
              <w:rPr>
                <w:rFonts w:ascii="Times New Roman" w:hAnsi="Times New Roman" w:cs="Times New Roman"/>
                <w:sz w:val="20"/>
                <w:szCs w:val="20"/>
              </w:rPr>
            </w:pPr>
            <w:r>
              <w:rPr>
                <w:rFonts w:ascii="Times New Roman" w:hAnsi="Times New Roman" w:cs="Times New Roman"/>
                <w:sz w:val="20"/>
                <w:szCs w:val="20"/>
              </w:rPr>
              <w:t>Grade III</w:t>
            </w:r>
          </w:p>
          <w:p w14:paraId="48E3B1C5">
            <w:pPr>
              <w:pStyle w:val="20"/>
              <w:spacing w:line="276" w:lineRule="auto"/>
              <w:rPr>
                <w:rFonts w:ascii="Times New Roman" w:hAnsi="Times New Roman" w:cs="Times New Roman"/>
                <w:sz w:val="20"/>
                <w:szCs w:val="20"/>
              </w:rPr>
            </w:pPr>
            <w:r>
              <w:rPr>
                <w:rFonts w:ascii="Times New Roman" w:hAnsi="Times New Roman" w:cs="Times New Roman"/>
                <w:sz w:val="20"/>
                <w:szCs w:val="20"/>
              </w:rPr>
              <w:t>(Poor)</w:t>
            </w:r>
          </w:p>
        </w:tc>
        <w:tc>
          <w:tcPr>
            <w:tcW w:w="1070" w:type="dxa"/>
            <w:tcBorders>
              <w:top w:val="single" w:color="auto" w:sz="4" w:space="0"/>
              <w:bottom w:val="single" w:color="auto" w:sz="4" w:space="0"/>
            </w:tcBorders>
          </w:tcPr>
          <w:p w14:paraId="6E43C48E">
            <w:pPr>
              <w:pStyle w:val="20"/>
              <w:spacing w:line="276" w:lineRule="auto"/>
              <w:rPr>
                <w:rFonts w:ascii="Times New Roman" w:hAnsi="Times New Roman" w:cs="Times New Roman"/>
                <w:sz w:val="20"/>
                <w:szCs w:val="20"/>
              </w:rPr>
            </w:pPr>
            <w:r>
              <w:rPr>
                <w:rFonts w:ascii="Times New Roman" w:hAnsi="Times New Roman" w:cs="Times New Roman"/>
                <w:sz w:val="20"/>
                <w:szCs w:val="20"/>
              </w:rPr>
              <w:t>Total</w:t>
            </w:r>
          </w:p>
        </w:tc>
      </w:tr>
      <w:tr w14:paraId="34EB26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117" w:type="dxa"/>
            <w:tcBorders>
              <w:top w:val="single" w:color="auto" w:sz="4" w:space="0"/>
            </w:tcBorders>
          </w:tcPr>
          <w:p w14:paraId="4D89BFDE">
            <w:pPr>
              <w:rPr>
                <w:rFonts w:ascii="Times New Roman" w:hAnsi="Times New Roman" w:cs="Times New Roman"/>
                <w:sz w:val="20"/>
                <w:szCs w:val="20"/>
              </w:rPr>
            </w:pPr>
            <w:r>
              <w:rPr>
                <w:rFonts w:ascii="Times New Roman" w:hAnsi="Times New Roman" w:cs="Times New Roman"/>
                <w:sz w:val="20"/>
                <w:szCs w:val="20"/>
              </w:rPr>
              <w:t>External Coaptation</w:t>
            </w:r>
          </w:p>
        </w:tc>
        <w:tc>
          <w:tcPr>
            <w:tcW w:w="1383" w:type="dxa"/>
            <w:tcBorders>
              <w:top w:val="single" w:color="auto" w:sz="4" w:space="0"/>
            </w:tcBorders>
          </w:tcPr>
          <w:p w14:paraId="4D576832">
            <w:pPr>
              <w:jc w:val="center"/>
              <w:rPr>
                <w:rFonts w:ascii="Times New Roman" w:hAnsi="Times New Roman" w:cs="Times New Roman"/>
                <w:sz w:val="20"/>
                <w:szCs w:val="20"/>
              </w:rPr>
            </w:pPr>
            <w:r>
              <w:rPr>
                <w:rFonts w:ascii="Times New Roman" w:hAnsi="Times New Roman" w:cs="Times New Roman"/>
                <w:sz w:val="20"/>
                <w:szCs w:val="20"/>
              </w:rPr>
              <w:t>2</w:t>
            </w:r>
          </w:p>
        </w:tc>
        <w:tc>
          <w:tcPr>
            <w:tcW w:w="1222" w:type="dxa"/>
            <w:tcBorders>
              <w:top w:val="single" w:color="auto" w:sz="4" w:space="0"/>
            </w:tcBorders>
          </w:tcPr>
          <w:p w14:paraId="07F78493">
            <w:pPr>
              <w:jc w:val="center"/>
              <w:rPr>
                <w:rFonts w:ascii="Times New Roman" w:hAnsi="Times New Roman" w:cs="Times New Roman"/>
                <w:sz w:val="20"/>
                <w:szCs w:val="20"/>
              </w:rPr>
            </w:pPr>
            <w:r>
              <w:rPr>
                <w:rFonts w:ascii="Times New Roman" w:hAnsi="Times New Roman" w:cs="Times New Roman"/>
                <w:sz w:val="20"/>
                <w:szCs w:val="20"/>
              </w:rPr>
              <w:t>2</w:t>
            </w:r>
          </w:p>
        </w:tc>
        <w:tc>
          <w:tcPr>
            <w:tcW w:w="1222" w:type="dxa"/>
            <w:tcBorders>
              <w:top w:val="single" w:color="auto" w:sz="4" w:space="0"/>
            </w:tcBorders>
          </w:tcPr>
          <w:p w14:paraId="04316D73">
            <w:pPr>
              <w:jc w:val="center"/>
              <w:rPr>
                <w:rFonts w:ascii="Times New Roman" w:hAnsi="Times New Roman" w:cs="Times New Roman"/>
                <w:sz w:val="20"/>
                <w:szCs w:val="20"/>
              </w:rPr>
            </w:pPr>
            <w:r>
              <w:rPr>
                <w:rFonts w:ascii="Times New Roman" w:hAnsi="Times New Roman" w:cs="Times New Roman"/>
                <w:sz w:val="20"/>
                <w:szCs w:val="20"/>
              </w:rPr>
              <w:t>5</w:t>
            </w:r>
          </w:p>
        </w:tc>
        <w:tc>
          <w:tcPr>
            <w:tcW w:w="1222" w:type="dxa"/>
            <w:tcBorders>
              <w:top w:val="single" w:color="auto" w:sz="4" w:space="0"/>
            </w:tcBorders>
          </w:tcPr>
          <w:p w14:paraId="17E0E8A9">
            <w:pPr>
              <w:jc w:val="center"/>
              <w:rPr>
                <w:rFonts w:ascii="Times New Roman" w:hAnsi="Times New Roman" w:cs="Times New Roman"/>
                <w:sz w:val="20"/>
                <w:szCs w:val="20"/>
              </w:rPr>
            </w:pPr>
            <w:r>
              <w:rPr>
                <w:rFonts w:ascii="Times New Roman" w:hAnsi="Times New Roman" w:cs="Times New Roman"/>
                <w:sz w:val="20"/>
                <w:szCs w:val="20"/>
              </w:rPr>
              <w:t>2</w:t>
            </w:r>
          </w:p>
        </w:tc>
        <w:tc>
          <w:tcPr>
            <w:tcW w:w="1070" w:type="dxa"/>
            <w:tcBorders>
              <w:top w:val="single" w:color="auto" w:sz="4" w:space="0"/>
            </w:tcBorders>
          </w:tcPr>
          <w:p w14:paraId="4E60970D">
            <w:pPr>
              <w:jc w:val="center"/>
              <w:rPr>
                <w:rFonts w:ascii="Times New Roman" w:hAnsi="Times New Roman" w:cs="Times New Roman"/>
                <w:sz w:val="20"/>
                <w:szCs w:val="20"/>
              </w:rPr>
            </w:pPr>
            <w:r>
              <w:rPr>
                <w:rFonts w:ascii="Times New Roman" w:hAnsi="Times New Roman" w:cs="Times New Roman"/>
                <w:sz w:val="20"/>
                <w:szCs w:val="20"/>
              </w:rPr>
              <w:t>11</w:t>
            </w:r>
          </w:p>
        </w:tc>
      </w:tr>
      <w:tr w14:paraId="230832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117" w:type="dxa"/>
            <w:tcBorders>
              <w:bottom w:val="single" w:color="auto" w:sz="4" w:space="0"/>
            </w:tcBorders>
          </w:tcPr>
          <w:p w14:paraId="2CFB2A5B">
            <w:pPr>
              <w:rPr>
                <w:rFonts w:ascii="Times New Roman" w:hAnsi="Times New Roman" w:cs="Times New Roman"/>
                <w:sz w:val="20"/>
                <w:szCs w:val="20"/>
              </w:rPr>
            </w:pPr>
            <w:r>
              <w:rPr>
                <w:rFonts w:ascii="Times New Roman" w:hAnsi="Times New Roman" w:cs="Times New Roman"/>
                <w:sz w:val="20"/>
                <w:szCs w:val="20"/>
              </w:rPr>
              <w:t>External Skeletal Fixative</w:t>
            </w:r>
          </w:p>
        </w:tc>
        <w:tc>
          <w:tcPr>
            <w:tcW w:w="1383" w:type="dxa"/>
            <w:tcBorders>
              <w:bottom w:val="single" w:color="auto" w:sz="4" w:space="0"/>
            </w:tcBorders>
          </w:tcPr>
          <w:p w14:paraId="61968CF0">
            <w:pPr>
              <w:jc w:val="center"/>
              <w:rPr>
                <w:rFonts w:ascii="Times New Roman" w:hAnsi="Times New Roman" w:cs="Times New Roman"/>
                <w:sz w:val="20"/>
                <w:szCs w:val="20"/>
              </w:rPr>
            </w:pPr>
            <w:r>
              <w:rPr>
                <w:rFonts w:ascii="Times New Roman" w:hAnsi="Times New Roman" w:cs="Times New Roman"/>
                <w:sz w:val="20"/>
                <w:szCs w:val="20"/>
              </w:rPr>
              <w:t>9</w:t>
            </w:r>
          </w:p>
        </w:tc>
        <w:tc>
          <w:tcPr>
            <w:tcW w:w="1222" w:type="dxa"/>
            <w:tcBorders>
              <w:bottom w:val="single" w:color="auto" w:sz="4" w:space="0"/>
            </w:tcBorders>
          </w:tcPr>
          <w:p w14:paraId="299B6FF4">
            <w:pPr>
              <w:jc w:val="center"/>
              <w:rPr>
                <w:rFonts w:ascii="Times New Roman" w:hAnsi="Times New Roman" w:cs="Times New Roman"/>
                <w:sz w:val="20"/>
                <w:szCs w:val="20"/>
              </w:rPr>
            </w:pPr>
            <w:r>
              <w:rPr>
                <w:rFonts w:ascii="Times New Roman" w:hAnsi="Times New Roman" w:cs="Times New Roman"/>
                <w:sz w:val="20"/>
                <w:szCs w:val="20"/>
              </w:rPr>
              <w:t>11</w:t>
            </w:r>
          </w:p>
        </w:tc>
        <w:tc>
          <w:tcPr>
            <w:tcW w:w="1222" w:type="dxa"/>
            <w:tcBorders>
              <w:bottom w:val="single" w:color="auto" w:sz="4" w:space="0"/>
            </w:tcBorders>
          </w:tcPr>
          <w:p w14:paraId="1DC43C18">
            <w:pPr>
              <w:jc w:val="center"/>
              <w:rPr>
                <w:rFonts w:ascii="Times New Roman" w:hAnsi="Times New Roman" w:cs="Times New Roman"/>
                <w:sz w:val="20"/>
                <w:szCs w:val="20"/>
              </w:rPr>
            </w:pPr>
            <w:r>
              <w:rPr>
                <w:rFonts w:ascii="Times New Roman" w:hAnsi="Times New Roman" w:cs="Times New Roman"/>
                <w:sz w:val="20"/>
                <w:szCs w:val="20"/>
              </w:rPr>
              <w:t>5</w:t>
            </w:r>
          </w:p>
        </w:tc>
        <w:tc>
          <w:tcPr>
            <w:tcW w:w="1222" w:type="dxa"/>
            <w:tcBorders>
              <w:bottom w:val="single" w:color="auto" w:sz="4" w:space="0"/>
            </w:tcBorders>
          </w:tcPr>
          <w:p w14:paraId="1404B02F">
            <w:pPr>
              <w:jc w:val="center"/>
              <w:rPr>
                <w:rFonts w:ascii="Times New Roman" w:hAnsi="Times New Roman" w:cs="Times New Roman"/>
                <w:sz w:val="20"/>
                <w:szCs w:val="20"/>
              </w:rPr>
            </w:pPr>
            <w:r>
              <w:rPr>
                <w:rFonts w:ascii="Times New Roman" w:hAnsi="Times New Roman" w:cs="Times New Roman"/>
                <w:sz w:val="20"/>
                <w:szCs w:val="20"/>
              </w:rPr>
              <w:t>9</w:t>
            </w:r>
          </w:p>
        </w:tc>
        <w:tc>
          <w:tcPr>
            <w:tcW w:w="1070" w:type="dxa"/>
            <w:tcBorders>
              <w:bottom w:val="single" w:color="auto" w:sz="4" w:space="0"/>
            </w:tcBorders>
          </w:tcPr>
          <w:p w14:paraId="699CE3EC">
            <w:pPr>
              <w:jc w:val="center"/>
              <w:rPr>
                <w:rFonts w:ascii="Times New Roman" w:hAnsi="Times New Roman" w:cs="Times New Roman"/>
                <w:sz w:val="20"/>
                <w:szCs w:val="20"/>
              </w:rPr>
            </w:pPr>
            <w:r>
              <w:rPr>
                <w:rFonts w:ascii="Times New Roman" w:hAnsi="Times New Roman" w:cs="Times New Roman"/>
                <w:sz w:val="20"/>
                <w:szCs w:val="20"/>
              </w:rPr>
              <w:t>34</w:t>
            </w:r>
          </w:p>
        </w:tc>
      </w:tr>
      <w:tr w14:paraId="14BFA4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3" w:hRule="atLeast"/>
        </w:trPr>
        <w:tc>
          <w:tcPr>
            <w:tcW w:w="4117" w:type="dxa"/>
            <w:tcBorders>
              <w:top w:val="single" w:color="auto" w:sz="4" w:space="0"/>
            </w:tcBorders>
          </w:tcPr>
          <w:p w14:paraId="55D5F37F">
            <w:pPr>
              <w:rPr>
                <w:rFonts w:ascii="Times New Roman" w:hAnsi="Times New Roman" w:cs="Times New Roman"/>
                <w:sz w:val="20"/>
                <w:szCs w:val="20"/>
              </w:rPr>
            </w:pPr>
            <w:r>
              <w:rPr>
                <w:rFonts w:ascii="Times New Roman" w:hAnsi="Times New Roman" w:cs="Times New Roman"/>
                <w:sz w:val="20"/>
                <w:szCs w:val="20"/>
              </w:rPr>
              <w:t>Total</w:t>
            </w:r>
          </w:p>
        </w:tc>
        <w:tc>
          <w:tcPr>
            <w:tcW w:w="1383" w:type="dxa"/>
            <w:tcBorders>
              <w:top w:val="single" w:color="auto" w:sz="4" w:space="0"/>
            </w:tcBorders>
          </w:tcPr>
          <w:p w14:paraId="3CE8901A">
            <w:pPr>
              <w:jc w:val="center"/>
              <w:rPr>
                <w:rFonts w:ascii="Times New Roman" w:hAnsi="Times New Roman" w:cs="Times New Roman"/>
                <w:sz w:val="20"/>
                <w:szCs w:val="20"/>
              </w:rPr>
            </w:pPr>
            <w:r>
              <w:rPr>
                <w:rFonts w:ascii="Times New Roman" w:hAnsi="Times New Roman" w:cs="Times New Roman"/>
                <w:sz w:val="20"/>
                <w:szCs w:val="20"/>
              </w:rPr>
              <w:t>11</w:t>
            </w:r>
          </w:p>
        </w:tc>
        <w:tc>
          <w:tcPr>
            <w:tcW w:w="1222" w:type="dxa"/>
            <w:tcBorders>
              <w:top w:val="single" w:color="auto" w:sz="4" w:space="0"/>
            </w:tcBorders>
          </w:tcPr>
          <w:p w14:paraId="42EB4C57">
            <w:pPr>
              <w:jc w:val="center"/>
              <w:rPr>
                <w:rFonts w:ascii="Times New Roman" w:hAnsi="Times New Roman" w:cs="Times New Roman"/>
                <w:sz w:val="20"/>
                <w:szCs w:val="20"/>
              </w:rPr>
            </w:pPr>
            <w:r>
              <w:rPr>
                <w:rFonts w:ascii="Times New Roman" w:hAnsi="Times New Roman" w:cs="Times New Roman"/>
                <w:sz w:val="20"/>
                <w:szCs w:val="20"/>
              </w:rPr>
              <w:t>13</w:t>
            </w:r>
          </w:p>
        </w:tc>
        <w:tc>
          <w:tcPr>
            <w:tcW w:w="1222" w:type="dxa"/>
            <w:tcBorders>
              <w:top w:val="single" w:color="auto" w:sz="4" w:space="0"/>
            </w:tcBorders>
          </w:tcPr>
          <w:p w14:paraId="197E8621">
            <w:pPr>
              <w:jc w:val="center"/>
              <w:rPr>
                <w:rFonts w:ascii="Times New Roman" w:hAnsi="Times New Roman" w:cs="Times New Roman"/>
                <w:sz w:val="20"/>
                <w:szCs w:val="20"/>
              </w:rPr>
            </w:pPr>
            <w:r>
              <w:rPr>
                <w:rFonts w:ascii="Times New Roman" w:hAnsi="Times New Roman" w:cs="Times New Roman"/>
                <w:sz w:val="20"/>
                <w:szCs w:val="20"/>
              </w:rPr>
              <w:t>10</w:t>
            </w:r>
          </w:p>
        </w:tc>
        <w:tc>
          <w:tcPr>
            <w:tcW w:w="1222" w:type="dxa"/>
            <w:tcBorders>
              <w:top w:val="single" w:color="auto" w:sz="4" w:space="0"/>
            </w:tcBorders>
          </w:tcPr>
          <w:p w14:paraId="08130E6F">
            <w:pPr>
              <w:jc w:val="center"/>
              <w:rPr>
                <w:rFonts w:ascii="Times New Roman" w:hAnsi="Times New Roman" w:cs="Times New Roman"/>
                <w:sz w:val="20"/>
                <w:szCs w:val="20"/>
              </w:rPr>
            </w:pPr>
            <w:r>
              <w:rPr>
                <w:rFonts w:ascii="Times New Roman" w:hAnsi="Times New Roman" w:cs="Times New Roman"/>
                <w:sz w:val="20"/>
                <w:szCs w:val="20"/>
              </w:rPr>
              <w:t>11</w:t>
            </w:r>
          </w:p>
        </w:tc>
        <w:tc>
          <w:tcPr>
            <w:tcW w:w="1070" w:type="dxa"/>
            <w:tcBorders>
              <w:top w:val="single" w:color="auto" w:sz="4" w:space="0"/>
            </w:tcBorders>
          </w:tcPr>
          <w:p w14:paraId="3BF22DF6">
            <w:pPr>
              <w:jc w:val="center"/>
              <w:rPr>
                <w:rFonts w:ascii="Times New Roman" w:hAnsi="Times New Roman" w:cs="Times New Roman"/>
                <w:sz w:val="20"/>
                <w:szCs w:val="20"/>
              </w:rPr>
            </w:pPr>
            <w:r>
              <w:rPr>
                <w:rFonts w:ascii="Times New Roman" w:hAnsi="Times New Roman" w:cs="Times New Roman"/>
                <w:sz w:val="20"/>
                <w:szCs w:val="20"/>
              </w:rPr>
              <w:t>45</w:t>
            </w:r>
          </w:p>
        </w:tc>
      </w:tr>
    </w:tbl>
    <w:p w14:paraId="0ED5696F">
      <w:pPr>
        <w:rPr>
          <w:rFonts w:ascii="Times New Roman" w:hAnsi="Times New Roman" w:cs="Times New Roman"/>
          <w:sz w:val="20"/>
          <w:szCs w:val="20"/>
        </w:rPr>
      </w:pPr>
    </w:p>
    <w:p w14:paraId="70701E72">
      <w:pPr>
        <w:spacing w:after="0"/>
        <w:rPr>
          <w:rFonts w:ascii="Times New Roman" w:hAnsi="Times New Roman" w:cs="Times New Roman"/>
          <w:b/>
          <w:bCs/>
          <w:sz w:val="20"/>
          <w:szCs w:val="20"/>
        </w:rPr>
      </w:pPr>
      <w:r>
        <w:rPr>
          <w:rFonts w:ascii="Times New Roman" w:hAnsi="Times New Roman" w:cs="Times New Roman"/>
          <w:b/>
          <w:bCs/>
          <w:sz w:val="20"/>
          <w:szCs w:val="20"/>
        </w:rPr>
        <w:t xml:space="preserve">DISCUSSION </w:t>
      </w:r>
    </w:p>
    <w:p w14:paraId="2438889F">
      <w:pPr>
        <w:spacing w:after="0"/>
        <w:jc w:val="both"/>
        <w:rPr>
          <w:rFonts w:ascii="Times New Roman" w:hAnsi="Times New Roman" w:cs="Times New Roman"/>
          <w:sz w:val="20"/>
          <w:szCs w:val="20"/>
        </w:rPr>
      </w:pPr>
      <w:r>
        <w:rPr>
          <w:rFonts w:ascii="Times New Roman" w:hAnsi="Times New Roman" w:cs="Times New Roman"/>
          <w:sz w:val="20"/>
          <w:szCs w:val="20"/>
        </w:rPr>
        <w:t xml:space="preserve">The most frequent fracture type observed in this study was transverse fracture. This finding agreed with Rani </w:t>
      </w:r>
      <w:r>
        <w:rPr>
          <w:rFonts w:ascii="Times New Roman" w:hAnsi="Times New Roman" w:cs="Times New Roman"/>
          <w:i/>
          <w:sz w:val="20"/>
          <w:szCs w:val="20"/>
        </w:rPr>
        <w:t>et al</w:t>
      </w:r>
      <w:r>
        <w:rPr>
          <w:rFonts w:ascii="Times New Roman" w:hAnsi="Times New Roman" w:cs="Times New Roman"/>
          <w:sz w:val="20"/>
          <w:szCs w:val="20"/>
        </w:rPr>
        <w:t xml:space="preserve">. (2004), Sran </w:t>
      </w:r>
      <w:r>
        <w:rPr>
          <w:rFonts w:ascii="Times New Roman" w:hAnsi="Times New Roman" w:cs="Times New Roman"/>
          <w:i/>
          <w:sz w:val="20"/>
          <w:szCs w:val="20"/>
        </w:rPr>
        <w:t>et al</w:t>
      </w:r>
      <w:r>
        <w:rPr>
          <w:rFonts w:ascii="Times New Roman" w:hAnsi="Times New Roman" w:cs="Times New Roman"/>
          <w:sz w:val="20"/>
          <w:szCs w:val="20"/>
        </w:rPr>
        <w:t xml:space="preserve">. (2016), Jain </w:t>
      </w:r>
      <w:r>
        <w:rPr>
          <w:rFonts w:ascii="Times New Roman" w:hAnsi="Times New Roman" w:cs="Times New Roman"/>
          <w:i/>
          <w:sz w:val="20"/>
          <w:szCs w:val="20"/>
        </w:rPr>
        <w:t>et al</w:t>
      </w:r>
      <w:r>
        <w:rPr>
          <w:rFonts w:ascii="Times New Roman" w:hAnsi="Times New Roman" w:cs="Times New Roman"/>
          <w:sz w:val="20"/>
          <w:szCs w:val="20"/>
        </w:rPr>
        <w:t xml:space="preserve">. (2018), Bidari </w:t>
      </w:r>
      <w:r>
        <w:rPr>
          <w:rFonts w:ascii="Times New Roman" w:hAnsi="Times New Roman" w:cs="Times New Roman"/>
          <w:i/>
          <w:sz w:val="20"/>
          <w:szCs w:val="20"/>
        </w:rPr>
        <w:t>et al</w:t>
      </w:r>
      <w:r>
        <w:rPr>
          <w:rFonts w:ascii="Times New Roman" w:hAnsi="Times New Roman" w:cs="Times New Roman"/>
          <w:sz w:val="20"/>
          <w:szCs w:val="20"/>
        </w:rPr>
        <w:t xml:space="preserve">. (2023), Kartik </w:t>
      </w:r>
      <w:r>
        <w:rPr>
          <w:rFonts w:ascii="Times New Roman" w:hAnsi="Times New Roman" w:cs="Times New Roman"/>
          <w:i/>
          <w:sz w:val="20"/>
          <w:szCs w:val="20"/>
        </w:rPr>
        <w:t>et al</w:t>
      </w:r>
      <w:r>
        <w:rPr>
          <w:rFonts w:ascii="Times New Roman" w:hAnsi="Times New Roman" w:cs="Times New Roman"/>
          <w:sz w:val="20"/>
          <w:szCs w:val="20"/>
        </w:rPr>
        <w:t xml:space="preserve">. (2023) and </w:t>
      </w:r>
      <w:r>
        <w:rPr>
          <w:rFonts w:ascii="Times New Roman" w:hAnsi="Times New Roman" w:cs="Times New Roman"/>
          <w:sz w:val="20"/>
          <w:szCs w:val="20"/>
          <w:shd w:val="clear" w:color="auto" w:fill="FFFFFF"/>
        </w:rPr>
        <w:t xml:space="preserve">Sriharsha </w:t>
      </w:r>
      <w:r>
        <w:rPr>
          <w:rFonts w:ascii="Times New Roman" w:hAnsi="Times New Roman" w:cs="Times New Roman"/>
          <w:i/>
          <w:sz w:val="20"/>
          <w:szCs w:val="20"/>
          <w:shd w:val="clear" w:color="auto" w:fill="FFFFFF"/>
        </w:rPr>
        <w:t>et al</w:t>
      </w:r>
      <w:r>
        <w:rPr>
          <w:rFonts w:ascii="Times New Roman" w:hAnsi="Times New Roman" w:cs="Times New Roman"/>
          <w:sz w:val="20"/>
          <w:szCs w:val="20"/>
          <w:shd w:val="clear" w:color="auto" w:fill="FFFFFF"/>
        </w:rPr>
        <w:t>. (2024)</w:t>
      </w:r>
      <w:r>
        <w:rPr>
          <w:rFonts w:ascii="Times New Roman" w:hAnsi="Times New Roman" w:cs="Times New Roman"/>
          <w:sz w:val="20"/>
          <w:szCs w:val="20"/>
        </w:rPr>
        <w:t xml:space="preserve">. This could be due to the preponderance of bending or compression forces as the cause of transverse fracture (Smith, 1985; Bidari </w:t>
      </w:r>
      <w:r>
        <w:rPr>
          <w:rFonts w:ascii="Times New Roman" w:hAnsi="Times New Roman" w:cs="Times New Roman"/>
          <w:i/>
          <w:sz w:val="20"/>
          <w:szCs w:val="20"/>
        </w:rPr>
        <w:t>et al</w:t>
      </w:r>
      <w:r>
        <w:rPr>
          <w:rFonts w:ascii="Times New Roman" w:hAnsi="Times New Roman" w:cs="Times New Roman"/>
          <w:sz w:val="20"/>
          <w:szCs w:val="20"/>
        </w:rPr>
        <w:t xml:space="preserve">., 2023), which may be in form of falling or blunt hitting which is accustomed in free roaming dogs as majorly observed in Zaria. The most frequent long bone affected in this study was the femur. Similarly, Phillips (1979), Harasen (2003), Beale (2004), Elzomor </w:t>
      </w:r>
      <w:r>
        <w:rPr>
          <w:rFonts w:ascii="Times New Roman" w:hAnsi="Times New Roman" w:cs="Times New Roman"/>
          <w:i/>
          <w:sz w:val="20"/>
          <w:szCs w:val="20"/>
        </w:rPr>
        <w:t>et al</w:t>
      </w:r>
      <w:r>
        <w:rPr>
          <w:rFonts w:ascii="Times New Roman" w:hAnsi="Times New Roman" w:cs="Times New Roman"/>
          <w:sz w:val="20"/>
          <w:szCs w:val="20"/>
        </w:rPr>
        <w:t xml:space="preserve">. (2014), </w:t>
      </w:r>
      <w:r>
        <w:rPr>
          <w:rFonts w:ascii="Times New Roman" w:hAnsi="Times New Roman" w:cs="Times New Roman"/>
          <w:sz w:val="20"/>
          <w:szCs w:val="20"/>
          <w:shd w:val="clear" w:color="auto" w:fill="FFFFFF"/>
        </w:rPr>
        <w:t xml:space="preserve">Eyarefe &amp; Oyetayo (2016), Abo-Soliman </w:t>
      </w:r>
      <w:r>
        <w:rPr>
          <w:rFonts w:ascii="Times New Roman" w:hAnsi="Times New Roman" w:cs="Times New Roman"/>
          <w:i/>
          <w:sz w:val="20"/>
          <w:szCs w:val="20"/>
          <w:shd w:val="clear" w:color="auto" w:fill="FFFFFF"/>
        </w:rPr>
        <w:t>et al</w:t>
      </w:r>
      <w:r>
        <w:rPr>
          <w:rFonts w:ascii="Times New Roman" w:hAnsi="Times New Roman" w:cs="Times New Roman"/>
          <w:sz w:val="20"/>
          <w:szCs w:val="20"/>
          <w:shd w:val="clear" w:color="auto" w:fill="FFFFFF"/>
        </w:rPr>
        <w:t xml:space="preserve">. (2020), Kumar </w:t>
      </w:r>
      <w:r>
        <w:rPr>
          <w:rFonts w:ascii="Times New Roman" w:hAnsi="Times New Roman" w:cs="Times New Roman"/>
          <w:i/>
          <w:sz w:val="20"/>
          <w:szCs w:val="20"/>
          <w:shd w:val="clear" w:color="auto" w:fill="FFFFFF"/>
        </w:rPr>
        <w:t>et al</w:t>
      </w:r>
      <w:r>
        <w:rPr>
          <w:rFonts w:ascii="Times New Roman" w:hAnsi="Times New Roman" w:cs="Times New Roman"/>
          <w:sz w:val="20"/>
          <w:szCs w:val="20"/>
          <w:shd w:val="clear" w:color="auto" w:fill="FFFFFF"/>
        </w:rPr>
        <w:t>. (2020) and Gaddam (2024)</w:t>
      </w:r>
      <w:r>
        <w:rPr>
          <w:rFonts w:ascii="Times New Roman" w:hAnsi="Times New Roman" w:cs="Times New Roman"/>
          <w:sz w:val="20"/>
          <w:szCs w:val="20"/>
        </w:rPr>
        <w:t xml:space="preserve"> reported femur to have the highest fracture occurrence in dogs. This could be due to the escape reflex in dogs during which they trust the forelimbs first, exposing the hindlimbs to the main impact of the trauma (Jain </w:t>
      </w:r>
      <w:r>
        <w:rPr>
          <w:rFonts w:ascii="Times New Roman" w:hAnsi="Times New Roman" w:cs="Times New Roman"/>
          <w:i/>
          <w:sz w:val="20"/>
          <w:szCs w:val="20"/>
        </w:rPr>
        <w:t>et al</w:t>
      </w:r>
      <w:r>
        <w:rPr>
          <w:rFonts w:ascii="Times New Roman" w:hAnsi="Times New Roman" w:cs="Times New Roman"/>
          <w:sz w:val="20"/>
          <w:szCs w:val="20"/>
        </w:rPr>
        <w:t>., 2018), which could likely produce a less life-threatening injury (Harasen, 2003b).</w:t>
      </w:r>
    </w:p>
    <w:p w14:paraId="5FF7139D">
      <w:pPr>
        <w:jc w:val="both"/>
        <w:rPr>
          <w:rFonts w:ascii="Times New Roman" w:hAnsi="Times New Roman" w:cs="Times New Roman"/>
          <w:sz w:val="20"/>
          <w:szCs w:val="20"/>
        </w:rPr>
      </w:pPr>
      <w:r>
        <w:rPr>
          <w:rFonts w:ascii="Times New Roman" w:hAnsi="Times New Roman" w:cs="Times New Roman"/>
          <w:sz w:val="20"/>
          <w:szCs w:val="20"/>
        </w:rPr>
        <w:t xml:space="preserve">The higher percentage of open reduction management techniques in this study could be attributed to the fact that it involves adequate apposition of fracture fragments and rigid bone implant fixations which produce early return to function of the fractured limb (Dudley </w:t>
      </w:r>
      <w:r>
        <w:rPr>
          <w:rFonts w:ascii="Times New Roman" w:hAnsi="Times New Roman" w:cs="Times New Roman"/>
          <w:i/>
          <w:sz w:val="20"/>
          <w:szCs w:val="20"/>
        </w:rPr>
        <w:t>et al</w:t>
      </w:r>
      <w:r>
        <w:rPr>
          <w:rFonts w:ascii="Times New Roman" w:hAnsi="Times New Roman" w:cs="Times New Roman"/>
          <w:sz w:val="20"/>
          <w:szCs w:val="20"/>
        </w:rPr>
        <w:t xml:space="preserve">., 1997). </w:t>
      </w:r>
    </w:p>
    <w:p w14:paraId="7AE4894A">
      <w:pPr>
        <w:jc w:val="both"/>
        <w:rPr>
          <w:rFonts w:ascii="Times New Roman" w:hAnsi="Times New Roman" w:cs="Times New Roman"/>
          <w:sz w:val="20"/>
          <w:szCs w:val="20"/>
        </w:rPr>
      </w:pPr>
    </w:p>
    <w:p w14:paraId="6A44ECE2">
      <w:pPr>
        <w:jc w:val="both"/>
        <w:rPr>
          <w:rFonts w:ascii="Times New Roman" w:hAnsi="Times New Roman" w:cs="Times New Roman"/>
          <w:sz w:val="20"/>
          <w:szCs w:val="20"/>
        </w:rPr>
      </w:pPr>
    </w:p>
    <w:p w14:paraId="798C24F7">
      <w:pPr>
        <w:jc w:val="both"/>
        <w:rPr>
          <w:rFonts w:ascii="Times New Roman" w:hAnsi="Times New Roman" w:cs="Times New Roman"/>
          <w:sz w:val="20"/>
          <w:szCs w:val="20"/>
        </w:rPr>
      </w:pPr>
    </w:p>
    <w:p w14:paraId="3DEFBA6F">
      <w:pPr>
        <w:jc w:val="both"/>
        <w:rPr>
          <w:rFonts w:ascii="Times New Roman" w:hAnsi="Times New Roman" w:cs="Times New Roman"/>
          <w:sz w:val="20"/>
          <w:szCs w:val="20"/>
        </w:rPr>
      </w:pPr>
      <w:r>
        <w:rPr>
          <w:rFonts w:ascii="Times New Roman" w:hAnsi="Times New Roman" w:cs="Times New Roman"/>
          <w:sz w:val="20"/>
          <w:szCs w:val="20"/>
        </w:rPr>
        <w:t xml:space="preserve">In addition, anatomic site of the fracture with massive muscle swelling and nature of the fracture also suggest the higher preference in open reduction (Kumar </w:t>
      </w:r>
      <w:r>
        <w:rPr>
          <w:rFonts w:ascii="Times New Roman" w:hAnsi="Times New Roman" w:cs="Times New Roman"/>
          <w:i/>
          <w:sz w:val="20"/>
          <w:szCs w:val="20"/>
        </w:rPr>
        <w:t>et al</w:t>
      </w:r>
      <w:r>
        <w:rPr>
          <w:rFonts w:ascii="Times New Roman" w:hAnsi="Times New Roman" w:cs="Times New Roman"/>
          <w:sz w:val="20"/>
          <w:szCs w:val="20"/>
        </w:rPr>
        <w:t xml:space="preserve">., 2018). However, closed reduction management techniques also have advantages such as minimal soft tissue trauma and reduced risk of infection at the site of the fracture (Rossello </w:t>
      </w:r>
      <w:r>
        <w:rPr>
          <w:rFonts w:ascii="Times New Roman" w:hAnsi="Times New Roman" w:cs="Times New Roman"/>
          <w:i/>
          <w:sz w:val="20"/>
          <w:szCs w:val="20"/>
        </w:rPr>
        <w:t>et al</w:t>
      </w:r>
      <w:r>
        <w:rPr>
          <w:rFonts w:ascii="Times New Roman" w:hAnsi="Times New Roman" w:cs="Times New Roman"/>
          <w:sz w:val="20"/>
          <w:szCs w:val="20"/>
        </w:rPr>
        <w:t xml:space="preserve">., 2022). Intramedullary pinning was the most common open reduction technique in this study. A similar finding was reported by Tercanliogu &amp; Sarierler (2009) and Budsberg (2010); this could be due to the fact that intramedullary pinning is an economical and efficient method that provides good stability with minimal complications as stated by Asma (2013). It supports the periosteal blood supply, reducing operating time by half (Daglar </w:t>
      </w:r>
      <w:r>
        <w:rPr>
          <w:rFonts w:ascii="Times New Roman" w:hAnsi="Times New Roman" w:cs="Times New Roman"/>
          <w:i/>
          <w:iCs/>
          <w:sz w:val="20"/>
          <w:szCs w:val="20"/>
        </w:rPr>
        <w:t>et al</w:t>
      </w:r>
      <w:r>
        <w:rPr>
          <w:rFonts w:ascii="Times New Roman" w:hAnsi="Times New Roman" w:cs="Times New Roman"/>
          <w:sz w:val="20"/>
          <w:szCs w:val="20"/>
        </w:rPr>
        <w:t xml:space="preserve">., 2007). The ESF had the highest occurrence among closed reduction in this study. This was supported by Yoon </w:t>
      </w:r>
      <w:r>
        <w:rPr>
          <w:rFonts w:ascii="Times New Roman" w:hAnsi="Times New Roman" w:cs="Times New Roman"/>
          <w:i/>
          <w:sz w:val="20"/>
          <w:szCs w:val="20"/>
        </w:rPr>
        <w:t>et al</w:t>
      </w:r>
      <w:r>
        <w:rPr>
          <w:rFonts w:ascii="Times New Roman" w:hAnsi="Times New Roman" w:cs="Times New Roman"/>
          <w:sz w:val="20"/>
          <w:szCs w:val="20"/>
        </w:rPr>
        <w:t xml:space="preserve">. (2018), who reported that this provides lack of micro motion at the fracture site, and rigid fixation that favoured a more accelerated healing rate. However, ESF is not restricted to close reduction, as it can be employed in open reduction or minimal open reduction, especially in fractures involving the humerus or femur (Yardimci </w:t>
      </w:r>
      <w:r>
        <w:rPr>
          <w:rFonts w:ascii="Times New Roman" w:hAnsi="Times New Roman" w:cs="Times New Roman"/>
          <w:i/>
          <w:sz w:val="20"/>
          <w:szCs w:val="20"/>
        </w:rPr>
        <w:t>et al</w:t>
      </w:r>
      <w:r>
        <w:rPr>
          <w:rFonts w:ascii="Times New Roman" w:hAnsi="Times New Roman" w:cs="Times New Roman"/>
          <w:sz w:val="20"/>
          <w:szCs w:val="20"/>
        </w:rPr>
        <w:t xml:space="preserve">., 2011; Yardimci </w:t>
      </w:r>
      <w:r>
        <w:rPr>
          <w:rFonts w:ascii="Times New Roman" w:hAnsi="Times New Roman" w:cs="Times New Roman"/>
          <w:i/>
          <w:sz w:val="20"/>
          <w:szCs w:val="20"/>
        </w:rPr>
        <w:t>et al</w:t>
      </w:r>
      <w:r>
        <w:rPr>
          <w:rFonts w:ascii="Times New Roman" w:hAnsi="Times New Roman" w:cs="Times New Roman"/>
          <w:sz w:val="20"/>
          <w:szCs w:val="20"/>
        </w:rPr>
        <w:t>., 2018).</w:t>
      </w:r>
    </w:p>
    <w:p w14:paraId="5903FB1E">
      <w:pPr>
        <w:jc w:val="both"/>
        <w:rPr>
          <w:rFonts w:ascii="Times New Roman" w:hAnsi="Times New Roman" w:cs="Times New Roman"/>
          <w:sz w:val="20"/>
          <w:szCs w:val="20"/>
        </w:rPr>
      </w:pPr>
    </w:p>
    <w:p w14:paraId="526C05EA">
      <w:pPr>
        <w:jc w:val="both"/>
        <w:rPr>
          <w:rFonts w:ascii="Times New Roman" w:hAnsi="Times New Roman" w:cs="Times New Roman"/>
          <w:sz w:val="20"/>
          <w:szCs w:val="20"/>
        </w:rPr>
      </w:pPr>
    </w:p>
    <w:p w14:paraId="658F9580">
      <w:pPr>
        <w:spacing w:after="0"/>
        <w:jc w:val="both"/>
        <w:rPr>
          <w:rFonts w:ascii="Times New Roman" w:hAnsi="Times New Roman" w:cs="Times New Roman"/>
          <w:sz w:val="20"/>
          <w:szCs w:val="20"/>
        </w:rPr>
      </w:pPr>
      <w:r>
        <w:rPr>
          <w:rFonts w:ascii="Times New Roman" w:hAnsi="Times New Roman" w:cs="Times New Roman"/>
          <w:sz w:val="20"/>
          <w:szCs w:val="20"/>
        </w:rPr>
        <w:t xml:space="preserve">Combination of intramedullary pin and cerclage wire had the highest excellent alignment among the open reduction techniques. This finding was observed in </w:t>
      </w:r>
      <w:r>
        <w:rPr>
          <w:rFonts w:ascii="Times New Roman" w:hAnsi="Times New Roman" w:eastAsia="Times New Roman" w:cs="Times New Roman"/>
          <w:sz w:val="20"/>
          <w:szCs w:val="20"/>
          <w:shd w:val="clear" w:color="auto" w:fill="FFFFFF"/>
          <w:lang w:val="en-US"/>
        </w:rPr>
        <w:t>Boudrieau &amp; Sinibaldi (1992),</w:t>
      </w:r>
      <w:r>
        <w:rPr>
          <w:rFonts w:ascii="Times New Roman" w:hAnsi="Times New Roman" w:cs="Times New Roman"/>
          <w:sz w:val="20"/>
          <w:szCs w:val="20"/>
        </w:rPr>
        <w:t xml:space="preserve"> Van der Zee (2014), Palmer (2020), and Adhikari </w:t>
      </w:r>
      <w:r>
        <w:rPr>
          <w:rFonts w:ascii="Times New Roman" w:hAnsi="Times New Roman" w:cs="Times New Roman"/>
          <w:i/>
          <w:sz w:val="20"/>
          <w:szCs w:val="20"/>
        </w:rPr>
        <w:t>et al</w:t>
      </w:r>
      <w:r>
        <w:rPr>
          <w:rFonts w:ascii="Times New Roman" w:hAnsi="Times New Roman" w:cs="Times New Roman"/>
          <w:sz w:val="20"/>
          <w:szCs w:val="20"/>
        </w:rPr>
        <w:t>. (2024).</w:t>
      </w:r>
    </w:p>
    <w:p w14:paraId="337FB137">
      <w:pPr>
        <w:spacing w:after="0"/>
        <w:jc w:val="both"/>
        <w:rPr>
          <w:rFonts w:ascii="Times New Roman" w:hAnsi="Times New Roman" w:cs="Times New Roman"/>
          <w:sz w:val="20"/>
          <w:szCs w:val="20"/>
          <w:shd w:val="clear" w:color="auto" w:fill="FFFFFF"/>
        </w:rPr>
      </w:pPr>
      <w:r>
        <w:rPr>
          <w:rFonts w:ascii="Times New Roman" w:hAnsi="Times New Roman" w:cs="Times New Roman"/>
          <w:sz w:val="20"/>
          <w:szCs w:val="20"/>
        </w:rPr>
        <w:t xml:space="preserve">This finding suggests that it is an affordable and simple fracture repair technique that is considered as the common fracture repair fixation method in oblique fracture (Palmer, 2020).While, external skeletal fixation had the highest excellent alignment among closed reduction techniques. This finding was reported by Piermattei </w:t>
      </w:r>
      <w:r>
        <w:rPr>
          <w:rFonts w:ascii="Times New Roman" w:hAnsi="Times New Roman" w:cs="Times New Roman"/>
          <w:i/>
          <w:sz w:val="20"/>
          <w:szCs w:val="20"/>
        </w:rPr>
        <w:t>et al</w:t>
      </w:r>
      <w:r>
        <w:rPr>
          <w:rFonts w:ascii="Times New Roman" w:hAnsi="Times New Roman" w:cs="Times New Roman"/>
          <w:sz w:val="20"/>
          <w:szCs w:val="20"/>
        </w:rPr>
        <w:t xml:space="preserve">. (2006), Roa </w:t>
      </w:r>
      <w:r>
        <w:rPr>
          <w:rFonts w:ascii="Times New Roman" w:hAnsi="Times New Roman" w:cs="Times New Roman"/>
          <w:i/>
          <w:sz w:val="20"/>
          <w:szCs w:val="20"/>
        </w:rPr>
        <w:t>et al</w:t>
      </w:r>
      <w:r>
        <w:rPr>
          <w:rFonts w:ascii="Times New Roman" w:hAnsi="Times New Roman" w:cs="Times New Roman"/>
          <w:sz w:val="20"/>
          <w:szCs w:val="20"/>
        </w:rPr>
        <w:t xml:space="preserve">. (2016) and Bada </w:t>
      </w:r>
      <w:r>
        <w:rPr>
          <w:rFonts w:ascii="Times New Roman" w:hAnsi="Times New Roman" w:cs="Times New Roman"/>
          <w:i/>
          <w:sz w:val="20"/>
          <w:szCs w:val="20"/>
        </w:rPr>
        <w:t>et al</w:t>
      </w:r>
      <w:r>
        <w:rPr>
          <w:rFonts w:ascii="Times New Roman" w:hAnsi="Times New Roman" w:cs="Times New Roman"/>
          <w:sz w:val="20"/>
          <w:szCs w:val="20"/>
        </w:rPr>
        <w:t xml:space="preserve">. (2018). The reason for this finding could be attributed to the main concept of closed reduction and external fixation, it is an easy biomechanical technique (Fossum, 2013; Radasch, 2014; Roa </w:t>
      </w:r>
      <w:r>
        <w:rPr>
          <w:rFonts w:ascii="Times New Roman" w:hAnsi="Times New Roman" w:cs="Times New Roman"/>
          <w:i/>
          <w:sz w:val="20"/>
          <w:szCs w:val="20"/>
        </w:rPr>
        <w:t>et al</w:t>
      </w:r>
      <w:r>
        <w:rPr>
          <w:rFonts w:ascii="Times New Roman" w:hAnsi="Times New Roman" w:cs="Times New Roman"/>
          <w:sz w:val="20"/>
          <w:szCs w:val="20"/>
        </w:rPr>
        <w:t xml:space="preserve">., 2016) that helps in stabilizing fracture segments and offering excellent alignment (Johnson </w:t>
      </w:r>
      <w:r>
        <w:rPr>
          <w:rFonts w:ascii="Times New Roman" w:hAnsi="Times New Roman" w:cs="Times New Roman"/>
          <w:i/>
          <w:sz w:val="20"/>
          <w:szCs w:val="20"/>
        </w:rPr>
        <w:t>et al</w:t>
      </w:r>
      <w:r>
        <w:rPr>
          <w:rFonts w:ascii="Times New Roman" w:hAnsi="Times New Roman" w:cs="Times New Roman"/>
          <w:sz w:val="20"/>
          <w:szCs w:val="20"/>
        </w:rPr>
        <w:t xml:space="preserve">., 1996; Dudley </w:t>
      </w:r>
      <w:r>
        <w:rPr>
          <w:rFonts w:ascii="Times New Roman" w:hAnsi="Times New Roman" w:cs="Times New Roman"/>
          <w:i/>
          <w:sz w:val="20"/>
          <w:szCs w:val="20"/>
        </w:rPr>
        <w:t>et al</w:t>
      </w:r>
      <w:r>
        <w:rPr>
          <w:rFonts w:ascii="Times New Roman" w:hAnsi="Times New Roman" w:cs="Times New Roman"/>
          <w:sz w:val="20"/>
          <w:szCs w:val="20"/>
        </w:rPr>
        <w:t>., 1997) with less soft tissue damage and enhance blood supply (Langley-Hobbs, 2014). In addition, it promotes early limb amputation (</w:t>
      </w:r>
      <w:r>
        <w:rPr>
          <w:rFonts w:ascii="Times New Roman" w:hAnsi="Times New Roman" w:cs="Times New Roman"/>
          <w:sz w:val="20"/>
          <w:szCs w:val="20"/>
          <w:shd w:val="clear" w:color="auto" w:fill="FFFFFF"/>
        </w:rPr>
        <w:t xml:space="preserve">Ozsoy &amp; Altunatmaz, 2003; </w:t>
      </w:r>
      <w:r>
        <w:rPr>
          <w:rFonts w:ascii="Times New Roman" w:hAnsi="Times New Roman" w:cs="Times New Roman"/>
          <w:sz w:val="20"/>
          <w:szCs w:val="20"/>
        </w:rPr>
        <w:t xml:space="preserve">Yardimci </w:t>
      </w:r>
      <w:r>
        <w:rPr>
          <w:rFonts w:ascii="Times New Roman" w:hAnsi="Times New Roman" w:cs="Times New Roman"/>
          <w:i/>
          <w:sz w:val="20"/>
          <w:szCs w:val="20"/>
        </w:rPr>
        <w:t>et al</w:t>
      </w:r>
      <w:r>
        <w:rPr>
          <w:rFonts w:ascii="Times New Roman" w:hAnsi="Times New Roman" w:cs="Times New Roman"/>
          <w:sz w:val="20"/>
          <w:szCs w:val="20"/>
        </w:rPr>
        <w:t xml:space="preserve">., 2018; Harshitha </w:t>
      </w:r>
      <w:r>
        <w:rPr>
          <w:rFonts w:ascii="Times New Roman" w:hAnsi="Times New Roman" w:cs="Times New Roman"/>
          <w:i/>
          <w:sz w:val="20"/>
          <w:szCs w:val="20"/>
        </w:rPr>
        <w:t>et al</w:t>
      </w:r>
      <w:r>
        <w:rPr>
          <w:rFonts w:ascii="Times New Roman" w:hAnsi="Times New Roman" w:cs="Times New Roman"/>
          <w:sz w:val="20"/>
          <w:szCs w:val="20"/>
        </w:rPr>
        <w:t>., 2023</w:t>
      </w:r>
      <w:r>
        <w:rPr>
          <w:rFonts w:ascii="Times New Roman" w:hAnsi="Times New Roman" w:cs="Times New Roman"/>
          <w:sz w:val="20"/>
          <w:szCs w:val="20"/>
          <w:shd w:val="clear" w:color="auto" w:fill="FFFFFF"/>
        </w:rPr>
        <w:t>).</w:t>
      </w:r>
    </w:p>
    <w:p w14:paraId="11DC741E">
      <w:pPr>
        <w:spacing w:after="0"/>
        <w:jc w:val="both"/>
        <w:rPr>
          <w:rFonts w:ascii="Times New Roman" w:hAnsi="Times New Roman" w:cs="Times New Roman"/>
          <w:sz w:val="20"/>
          <w:szCs w:val="20"/>
          <w:shd w:val="clear" w:color="auto" w:fill="FFFFFF"/>
        </w:rPr>
      </w:pPr>
    </w:p>
    <w:p w14:paraId="15DA5E66">
      <w:pPr>
        <w:pStyle w:val="10"/>
        <w:spacing w:before="0" w:beforeAutospacing="0" w:after="0" w:afterAutospacing="0" w:line="276" w:lineRule="auto"/>
        <w:rPr>
          <w:sz w:val="20"/>
          <w:szCs w:val="20"/>
        </w:rPr>
      </w:pPr>
      <w:r>
        <w:rPr>
          <w:rStyle w:val="11"/>
          <w:sz w:val="20"/>
          <w:szCs w:val="20"/>
        </w:rPr>
        <w:t>CONCLUSION</w:t>
      </w:r>
    </w:p>
    <w:p w14:paraId="666AC7E9">
      <w:pPr>
        <w:pStyle w:val="10"/>
        <w:spacing w:before="0" w:beforeAutospacing="0" w:after="0" w:afterAutospacing="0" w:line="276" w:lineRule="auto"/>
        <w:jc w:val="both"/>
        <w:rPr>
          <w:sz w:val="20"/>
          <w:szCs w:val="20"/>
        </w:rPr>
      </w:pPr>
      <w:r>
        <w:rPr>
          <w:sz w:val="20"/>
          <w:szCs w:val="20"/>
        </w:rPr>
        <w:t>This study demonstrated that transverse fractures were the predominant long-bone fracture pattern in dogs, accounting for 60.0% of all cases, while the femur and tibia/fibula were the most frequently affected bones. Open reduction was the most commonly employed fracture management technique, with intramedullary pinning representing the principal method of stabilization. Among the open reduction procedures, intramedullary pinning combined with cerclage wire achieved the highest proportion of excellent fracture alignment and showed significantly better alignment outcomes compared with other open reduction techniques. In closed reduction management, external skeletal fixation produced the greatest number of excellent alignments and outperformed external coaptation in maintaining satisfactory fracture reduction. These findings indicate that the choice of fracture reduction and fixation technique substantially influence post-reduction alignment. Intramedullary pinning with cerclage wire appears to be a particularly effective option for open reduction of canine long-bone fractures, while external skeletal fixation remains a valuable minimally invasive alternative for closed reduction. These results provide important clinical evidence to guide treatment selection and optimize fracture management outcomes in dogs.</w:t>
      </w:r>
    </w:p>
    <w:p w14:paraId="34CB375E">
      <w:pPr>
        <w:pStyle w:val="10"/>
        <w:spacing w:before="0" w:beforeAutospacing="0" w:after="0" w:afterAutospacing="0" w:line="276" w:lineRule="auto"/>
        <w:jc w:val="both"/>
        <w:rPr>
          <w:sz w:val="20"/>
          <w:szCs w:val="20"/>
        </w:rPr>
      </w:pPr>
    </w:p>
    <w:p w14:paraId="619C229E">
      <w:pPr>
        <w:spacing w:after="0"/>
        <w:jc w:val="both"/>
        <w:rPr>
          <w:rFonts w:ascii="Times New Roman" w:hAnsi="Times New Roman" w:cs="Times New Roman"/>
          <w:b/>
          <w:sz w:val="20"/>
          <w:szCs w:val="20"/>
        </w:rPr>
      </w:pPr>
      <w:r>
        <w:rPr>
          <w:rFonts w:ascii="Times New Roman" w:hAnsi="Times New Roman" w:cs="Times New Roman"/>
          <w:b/>
          <w:sz w:val="20"/>
          <w:szCs w:val="20"/>
        </w:rPr>
        <w:t>ACKNOWLEDGEMENT</w:t>
      </w:r>
    </w:p>
    <w:p w14:paraId="58593420">
      <w:pPr>
        <w:spacing w:after="0"/>
        <w:jc w:val="both"/>
        <w:rPr>
          <w:rFonts w:ascii="Times New Roman" w:hAnsi="Times New Roman" w:cs="Times New Roman"/>
          <w:sz w:val="20"/>
          <w:szCs w:val="20"/>
        </w:rPr>
      </w:pPr>
      <w:r>
        <w:rPr>
          <w:rFonts w:ascii="Times New Roman" w:hAnsi="Times New Roman" w:cs="Times New Roman"/>
          <w:sz w:val="20"/>
          <w:szCs w:val="20"/>
        </w:rPr>
        <w:t>Appreciation to the Veterinary Teaching Hospital, Ahmadu Bello University, Zaria for the support.</w:t>
      </w:r>
    </w:p>
    <w:p w14:paraId="53F7F6CC">
      <w:pPr>
        <w:spacing w:after="0"/>
        <w:jc w:val="both"/>
        <w:rPr>
          <w:rFonts w:ascii="Times New Roman" w:hAnsi="Times New Roman" w:cs="Times New Roman"/>
          <w:sz w:val="20"/>
          <w:szCs w:val="20"/>
        </w:rPr>
      </w:pPr>
    </w:p>
    <w:p w14:paraId="259B1DEF">
      <w:pPr>
        <w:spacing w:after="0"/>
        <w:jc w:val="both"/>
        <w:rPr>
          <w:rFonts w:ascii="Times New Roman" w:hAnsi="Times New Roman" w:cs="Times New Roman"/>
          <w:b/>
          <w:sz w:val="20"/>
          <w:szCs w:val="20"/>
        </w:rPr>
      </w:pPr>
      <w:r>
        <w:rPr>
          <w:rFonts w:ascii="Times New Roman" w:hAnsi="Times New Roman" w:cs="Times New Roman"/>
          <w:b/>
          <w:sz w:val="20"/>
          <w:szCs w:val="20"/>
        </w:rPr>
        <w:t>CONFLICT OF INTEREST</w:t>
      </w:r>
    </w:p>
    <w:p w14:paraId="7A0D2F78">
      <w:pPr>
        <w:spacing w:after="0"/>
        <w:rPr>
          <w:rFonts w:ascii="Times New Roman" w:hAnsi="Times New Roman" w:cs="Times New Roman"/>
          <w:sz w:val="20"/>
          <w:szCs w:val="20"/>
        </w:rPr>
      </w:pPr>
      <w:r>
        <w:rPr>
          <w:rFonts w:ascii="Times New Roman" w:hAnsi="Times New Roman" w:cs="Times New Roman"/>
          <w:sz w:val="20"/>
          <w:szCs w:val="20"/>
        </w:rPr>
        <w:t>There is no conflict of interest in regards to this manuscript</w:t>
      </w:r>
    </w:p>
    <w:p w14:paraId="5AD15A0B">
      <w:pPr>
        <w:spacing w:after="0"/>
        <w:jc w:val="both"/>
        <w:rPr>
          <w:rFonts w:ascii="Times New Roman" w:hAnsi="Times New Roman" w:cs="Times New Roman"/>
          <w:b/>
          <w:sz w:val="20"/>
          <w:szCs w:val="20"/>
        </w:rPr>
      </w:pPr>
    </w:p>
    <w:p w14:paraId="45A4E3FA">
      <w:pPr>
        <w:spacing w:after="0"/>
        <w:jc w:val="both"/>
        <w:rPr>
          <w:rFonts w:ascii="Times New Roman" w:hAnsi="Times New Roman" w:cs="Times New Roman"/>
          <w:sz w:val="20"/>
          <w:szCs w:val="20"/>
        </w:rPr>
      </w:pPr>
      <w:r>
        <w:rPr>
          <w:rFonts w:ascii="Times New Roman" w:hAnsi="Times New Roman" w:cs="Times New Roman"/>
          <w:b/>
          <w:sz w:val="20"/>
          <w:szCs w:val="20"/>
        </w:rPr>
        <w:t>REFERENCES</w:t>
      </w:r>
    </w:p>
    <w:p w14:paraId="40A6B606">
      <w:pPr>
        <w:spacing w:after="0"/>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Abako, J., Holak, P., Głodek, J. &amp; Zhalniarovich, Y. (2021). Usefulness of imaging techniques in the diagnosis of selected injuries and lesions of the canine tarsus. A Review. </w:t>
      </w:r>
      <w:r>
        <w:rPr>
          <w:rFonts w:ascii="Times New Roman" w:hAnsi="Times New Roman" w:cs="Times New Roman"/>
          <w:i/>
          <w:iCs/>
          <w:sz w:val="20"/>
          <w:szCs w:val="20"/>
          <w:shd w:val="clear" w:color="auto" w:fill="FFFFFF"/>
        </w:rPr>
        <w:t>Animals</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11</w:t>
      </w:r>
      <w:r>
        <w:rPr>
          <w:rFonts w:ascii="Times New Roman" w:hAnsi="Times New Roman" w:cs="Times New Roman"/>
          <w:sz w:val="20"/>
          <w:szCs w:val="20"/>
          <w:shd w:val="clear" w:color="auto" w:fill="FFFFFF"/>
        </w:rPr>
        <w:t>(6), 1834.</w:t>
      </w:r>
    </w:p>
    <w:p w14:paraId="4C83424D">
      <w:pPr>
        <w:spacing w:after="0"/>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Abd ElRaouf, M., Ezzeldein, S. A. &amp; Eisa, E. F. M. (2019). Bone fractures in dogs: A retrospective study of 129 dogs. </w:t>
      </w:r>
      <w:r>
        <w:rPr>
          <w:rFonts w:ascii="Times New Roman" w:hAnsi="Times New Roman" w:cs="Times New Roman"/>
          <w:i/>
          <w:iCs/>
          <w:sz w:val="20"/>
          <w:szCs w:val="20"/>
          <w:shd w:val="clear" w:color="auto" w:fill="FFFFFF"/>
        </w:rPr>
        <w:t>Iraqi Journal of Veterinary Sciences</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33</w:t>
      </w:r>
      <w:r>
        <w:rPr>
          <w:rFonts w:ascii="Times New Roman" w:hAnsi="Times New Roman" w:cs="Times New Roman"/>
          <w:sz w:val="20"/>
          <w:szCs w:val="20"/>
          <w:shd w:val="clear" w:color="auto" w:fill="FFFFFF"/>
        </w:rPr>
        <w:t>(2), 401-405.</w:t>
      </w:r>
    </w:p>
    <w:p w14:paraId="6E5038F3">
      <w:pPr>
        <w:spacing w:after="0" w:line="240" w:lineRule="auto"/>
        <w:ind w:left="547"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Abo-Soliman, A. A. M., Ahmed, A. E. &amp; Farghali, H. A. M. A. (2020). Incidence of appendicular bone fracture in dogs and cats: retrospective study at Veterinary Hospital of Cairo University and some private clinics in Egypt. </w:t>
      </w:r>
      <w:r>
        <w:rPr>
          <w:rFonts w:ascii="Times New Roman" w:hAnsi="Times New Roman" w:cs="Times New Roman"/>
          <w:i/>
          <w:iCs/>
          <w:sz w:val="20"/>
          <w:szCs w:val="20"/>
          <w:shd w:val="clear" w:color="auto" w:fill="FFFFFF"/>
        </w:rPr>
        <w:t>World's Veterinary Journal</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10</w:t>
      </w:r>
      <w:r>
        <w:rPr>
          <w:rFonts w:ascii="Times New Roman" w:hAnsi="Times New Roman" w:cs="Times New Roman"/>
          <w:sz w:val="20"/>
          <w:szCs w:val="20"/>
          <w:shd w:val="clear" w:color="auto" w:fill="FFFFFF"/>
        </w:rPr>
        <w:t>(4), 638-652.</w:t>
      </w:r>
    </w:p>
    <w:p w14:paraId="2B4092FB">
      <w:pPr>
        <w:spacing w:after="0" w:line="240" w:lineRule="auto"/>
        <w:ind w:left="547" w:hanging="360"/>
        <w:jc w:val="both"/>
        <w:rPr>
          <w:rFonts w:ascii="Times New Roman" w:hAnsi="Times New Roman" w:cs="Times New Roman"/>
          <w:sz w:val="20"/>
          <w:szCs w:val="20"/>
          <w:shd w:val="clear" w:color="auto" w:fill="FFFFFF"/>
        </w:rPr>
      </w:pPr>
      <w:r>
        <w:rPr>
          <w:rFonts w:ascii="Times New Roman" w:hAnsi="Times New Roman" w:cs="Times New Roman"/>
          <w:sz w:val="20"/>
          <w:szCs w:val="20"/>
        </w:rPr>
        <w:t xml:space="preserve">Adhikari, K., Poudel, S. &amp; Shah, M.K. (2024). Management of femur fracture using simple intramedullary steinmann pin and orthopaedic cerclage wire in a dog. Veterinary Science: </w:t>
      </w:r>
      <w:r>
        <w:rPr>
          <w:rFonts w:ascii="Times New Roman" w:hAnsi="Times New Roman" w:cs="Times New Roman"/>
          <w:i/>
          <w:sz w:val="20"/>
          <w:szCs w:val="20"/>
        </w:rPr>
        <w:t>Research and Reviews</w:t>
      </w:r>
      <w:r>
        <w:rPr>
          <w:rFonts w:ascii="Times New Roman" w:hAnsi="Times New Roman" w:cs="Times New Roman"/>
          <w:sz w:val="20"/>
          <w:szCs w:val="20"/>
        </w:rPr>
        <w:t>, 10(2), 88-97.</w:t>
      </w:r>
    </w:p>
    <w:p w14:paraId="4392492E">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Aliyu, B. S., Hassan, A. Z., Ochube, G. E., Umar, B. N., Lawal, M. &amp; Ibrahim, A. S. (2022). Clinical and radiographic evaluations of healing femoral fractures managed with conventional and novel allo-cadaveric bone plates in dogs. </w:t>
      </w:r>
      <w:r>
        <w:rPr>
          <w:rFonts w:ascii="Times New Roman" w:hAnsi="Times New Roman" w:cs="Times New Roman"/>
          <w:i/>
          <w:iCs/>
          <w:sz w:val="20"/>
          <w:szCs w:val="20"/>
          <w:shd w:val="clear" w:color="auto" w:fill="FFFFFF"/>
        </w:rPr>
        <w:t>Sokoto Journal of Veterinary Sciences</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20</w:t>
      </w:r>
      <w:r>
        <w:rPr>
          <w:rFonts w:ascii="Times New Roman" w:hAnsi="Times New Roman" w:cs="Times New Roman"/>
          <w:sz w:val="20"/>
          <w:szCs w:val="20"/>
          <w:shd w:val="clear" w:color="auto" w:fill="FFFFFF"/>
        </w:rPr>
        <w:t>(5), 123-133.</w:t>
      </w:r>
    </w:p>
    <w:p w14:paraId="2D83CD1D">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Bada, A. A., Hassan, A. Z., Awasum, C. A., Emmanuel, E. G., Bappah, M. N., Lawal, M. &amp; Ochube, G. E. (201</w:t>
      </w:r>
      <w:r>
        <w:rPr>
          <w:rFonts w:ascii="Times New Roman" w:hAnsi="Times New Roman" w:cs="Times New Roman"/>
          <w:iCs/>
          <w:sz w:val="20"/>
          <w:szCs w:val="20"/>
          <w:shd w:val="clear" w:color="auto" w:fill="FFFFFF"/>
        </w:rPr>
        <w:t xml:space="preserve">7). Comparative evaluation of pin-in-fiberglass cast and Kirschner-Ehmer external fixative in the management of radius-ulna fractures in dogs. </w:t>
      </w:r>
      <w:r>
        <w:rPr>
          <w:rFonts w:ascii="Times New Roman" w:hAnsi="Times New Roman" w:cs="Times New Roman"/>
          <w:i/>
          <w:iCs/>
          <w:sz w:val="20"/>
          <w:szCs w:val="20"/>
          <w:shd w:val="clear" w:color="auto" w:fill="FFFFFF"/>
        </w:rPr>
        <w:t>Sokoto Journal of Veterinary Sciences</w:t>
      </w:r>
      <w:r>
        <w:rPr>
          <w:rFonts w:ascii="Times New Roman" w:hAnsi="Times New Roman" w:cs="Times New Roman"/>
          <w:iCs/>
          <w:sz w:val="20"/>
          <w:szCs w:val="20"/>
          <w:shd w:val="clear" w:color="auto" w:fill="FFFFFF"/>
        </w:rPr>
        <w:t>, 15(4), 36. https://doi.org/10.4314/sokjvs.v1</w:t>
      </w:r>
    </w:p>
    <w:p w14:paraId="237634C5">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eastAsia="Calibri" w:cs="Times New Roman"/>
          <w:bCs/>
          <w:sz w:val="20"/>
          <w:szCs w:val="20"/>
        </w:rPr>
        <w:t>Bada, A. A.</w:t>
      </w:r>
      <w:r>
        <w:rPr>
          <w:rFonts w:ascii="Times New Roman" w:hAnsi="Times New Roman" w:eastAsia="Calibri" w:cs="Times New Roman"/>
          <w:sz w:val="20"/>
          <w:szCs w:val="20"/>
        </w:rPr>
        <w:t xml:space="preserve">, Ochube, G. E, Emmanuel, E. G., Oyenekan, I. O., Bappah, M. N., Muhammad, S. T., Lawal, M., Sani, M. A. &amp; Hassan, A. Z. (2018). Management of a closed oblique humeral fracture using type I monopolar external skeletal fixator with limited open approach in a Nigerian indigenous puppy. </w:t>
      </w:r>
      <w:r>
        <w:rPr>
          <w:rFonts w:ascii="Times New Roman" w:hAnsi="Times New Roman" w:eastAsia="Calibri" w:cs="Times New Roman"/>
          <w:i/>
          <w:iCs/>
          <w:sz w:val="20"/>
          <w:szCs w:val="20"/>
        </w:rPr>
        <w:t xml:space="preserve">Veterinary Clinical Practice Journal, </w:t>
      </w:r>
      <w:r>
        <w:rPr>
          <w:rFonts w:ascii="Times New Roman" w:hAnsi="Times New Roman" w:eastAsia="Calibri" w:cs="Times New Roman"/>
          <w:sz w:val="20"/>
          <w:szCs w:val="20"/>
        </w:rPr>
        <w:t>4(1), 1-7.</w:t>
      </w:r>
    </w:p>
    <w:p w14:paraId="378802D3">
      <w:pPr>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rPr>
        <w:t xml:space="preserve">Beale, B. (2004). Techniques for the management of long bone fractures: Orthopaedic Clinical techniques femur fracture repair. </w:t>
      </w:r>
      <w:r>
        <w:rPr>
          <w:rFonts w:ascii="Times New Roman" w:hAnsi="Times New Roman" w:cs="Times New Roman"/>
          <w:i/>
          <w:sz w:val="20"/>
          <w:szCs w:val="20"/>
        </w:rPr>
        <w:t>Clinical Techniques in Small Animal Practice</w:t>
      </w:r>
      <w:r>
        <w:rPr>
          <w:rFonts w:ascii="Times New Roman" w:hAnsi="Times New Roman" w:cs="Times New Roman"/>
          <w:sz w:val="20"/>
          <w:szCs w:val="20"/>
        </w:rPr>
        <w:t xml:space="preserve">, 19(3), 134-150. </w:t>
      </w:r>
    </w:p>
    <w:p w14:paraId="674688AF">
      <w:pPr>
        <w:spacing w:after="0" w:line="240" w:lineRule="auto"/>
        <w:ind w:left="547"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Bidari, K., Jahangirbasha, D., Dilipkumr, D. &amp; Bhagavantappa, B. (2023). Incidence of long bone fractures in dogs a retrospective study (2016–2021). </w:t>
      </w:r>
      <w:r>
        <w:rPr>
          <w:rFonts w:ascii="Times New Roman" w:hAnsi="Times New Roman" w:cs="Times New Roman"/>
          <w:i/>
          <w:sz w:val="20"/>
          <w:szCs w:val="20"/>
        </w:rPr>
        <w:t>The Pharma Innovation Journal</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12</w:t>
      </w:r>
      <w:r>
        <w:rPr>
          <w:rFonts w:ascii="Times New Roman" w:hAnsi="Times New Roman" w:cs="Times New Roman"/>
          <w:sz w:val="20"/>
          <w:szCs w:val="20"/>
          <w:shd w:val="clear" w:color="auto" w:fill="FFFFFF"/>
        </w:rPr>
        <w:t>(6), 531-534.</w:t>
      </w:r>
    </w:p>
    <w:p w14:paraId="5FD03CE5">
      <w:pPr>
        <w:spacing w:after="0" w:line="240" w:lineRule="auto"/>
        <w:ind w:left="547" w:hanging="360"/>
        <w:jc w:val="both"/>
        <w:rPr>
          <w:rFonts w:ascii="Times New Roman" w:hAnsi="Times New Roman" w:cs="Times New Roman"/>
          <w:sz w:val="20"/>
          <w:szCs w:val="20"/>
        </w:rPr>
      </w:pPr>
      <w:r>
        <w:rPr>
          <w:rFonts w:ascii="Times New Roman" w:hAnsi="Times New Roman" w:cs="Times New Roman"/>
          <w:sz w:val="20"/>
          <w:szCs w:val="20"/>
          <w:shd w:val="clear" w:color="auto" w:fill="FFFFFF"/>
        </w:rPr>
        <w:t>Boudrieau, R. J. &amp; Sinibaldi, K. R. (1992, February). Principles of long bone fracture management. In </w:t>
      </w:r>
      <w:r>
        <w:rPr>
          <w:rFonts w:ascii="Times New Roman" w:hAnsi="Times New Roman" w:cs="Times New Roman"/>
          <w:i/>
          <w:iCs/>
          <w:sz w:val="20"/>
          <w:szCs w:val="20"/>
          <w:shd w:val="clear" w:color="auto" w:fill="FFFFFF"/>
        </w:rPr>
        <w:t>Seminars in Veterinary Medicine and Surgery (Small Animal)</w:t>
      </w:r>
      <w:r>
        <w:rPr>
          <w:rFonts w:ascii="Times New Roman" w:hAnsi="Times New Roman" w:cs="Times New Roman"/>
          <w:iCs/>
          <w:sz w:val="20"/>
          <w:szCs w:val="20"/>
          <w:shd w:val="clear" w:color="auto" w:fill="FFFFFF"/>
        </w:rPr>
        <w:t>,</w:t>
      </w:r>
      <w:r>
        <w:rPr>
          <w:rFonts w:ascii="Times New Roman" w:hAnsi="Times New Roman" w:cs="Times New Roman"/>
          <w:sz w:val="20"/>
          <w:szCs w:val="20"/>
          <w:shd w:val="clear" w:color="auto" w:fill="FFFFFF"/>
        </w:rPr>
        <w:t> 7(1), 44-62.</w:t>
      </w:r>
    </w:p>
    <w:p w14:paraId="5EEFAF5D">
      <w:pPr>
        <w:spacing w:after="0" w:line="240" w:lineRule="auto"/>
        <w:ind w:left="547" w:hanging="360"/>
        <w:jc w:val="both"/>
        <w:rPr>
          <w:rFonts w:ascii="Times New Roman" w:hAnsi="Times New Roman" w:cs="Times New Roman"/>
          <w:sz w:val="20"/>
          <w:szCs w:val="20"/>
        </w:rPr>
      </w:pPr>
      <w:r>
        <w:rPr>
          <w:rFonts w:ascii="Times New Roman" w:hAnsi="Times New Roman" w:cs="Times New Roman"/>
          <w:sz w:val="20"/>
          <w:szCs w:val="20"/>
        </w:rPr>
        <w:t xml:space="preserve">Budsberg, S.C. (2010). Overview of methods of fracture fixation (Proceedings). </w:t>
      </w:r>
      <w:r>
        <w:rPr>
          <w:rFonts w:ascii="Times New Roman" w:hAnsi="Times New Roman" w:cs="Times New Roman"/>
          <w:i/>
          <w:sz w:val="20"/>
          <w:szCs w:val="20"/>
        </w:rPr>
        <w:t>DVM360 Conference</w:t>
      </w:r>
      <w:r>
        <w:rPr>
          <w:rFonts w:ascii="Times New Roman" w:hAnsi="Times New Roman" w:cs="Times New Roman"/>
          <w:sz w:val="20"/>
          <w:szCs w:val="20"/>
        </w:rPr>
        <w:t xml:space="preserve">. Retrieved. from </w:t>
      </w:r>
      <w:r>
        <w:fldChar w:fldCharType="begin"/>
      </w:r>
      <w:r>
        <w:instrText xml:space="preserve"> HYPERLINK "https://www.dvm360.com/view/overview-methods-fracture-fixation-proceedings?utm_source=chatgpt.com" </w:instrText>
      </w:r>
      <w:r>
        <w:fldChar w:fldCharType="separate"/>
      </w:r>
      <w:r>
        <w:rPr>
          <w:rStyle w:val="9"/>
          <w:rFonts w:ascii="Times New Roman" w:hAnsi="Times New Roman" w:cs="Times New Roman"/>
          <w:sz w:val="20"/>
          <w:szCs w:val="20"/>
        </w:rPr>
        <w:t>https://www.dvm360.com/view/overview-methods-fracture-fixation-proceedings?utm_source=chatgpt.com</w:t>
      </w:r>
      <w:r>
        <w:rPr>
          <w:rStyle w:val="9"/>
          <w:rFonts w:ascii="Times New Roman" w:hAnsi="Times New Roman" w:cs="Times New Roman"/>
          <w:sz w:val="20"/>
          <w:szCs w:val="20"/>
        </w:rPr>
        <w:fldChar w:fldCharType="end"/>
      </w:r>
    </w:p>
    <w:p w14:paraId="6623E38C">
      <w:pPr>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shd w:val="clear" w:color="auto" w:fill="FFFFFF"/>
        </w:rPr>
        <w:t>Clements, D. N., Gemmill, T., Corr, S. A., Bennett, D. &amp; Carmichael, S. (2003). Fracture of the proximal tibial epiphysis and tuberosity in 10 dogs. </w:t>
      </w:r>
      <w:r>
        <w:rPr>
          <w:rFonts w:ascii="Times New Roman" w:hAnsi="Times New Roman" w:cs="Times New Roman"/>
          <w:i/>
          <w:iCs/>
          <w:sz w:val="20"/>
          <w:szCs w:val="20"/>
          <w:shd w:val="clear" w:color="auto" w:fill="FFFFFF"/>
        </w:rPr>
        <w:t>Journal of Small Animal Practice</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44</w:t>
      </w:r>
      <w:r>
        <w:rPr>
          <w:rFonts w:ascii="Times New Roman" w:hAnsi="Times New Roman" w:cs="Times New Roman"/>
          <w:sz w:val="20"/>
          <w:szCs w:val="20"/>
          <w:shd w:val="clear" w:color="auto" w:fill="FFFFFF"/>
        </w:rPr>
        <w:t>(8), 355-358.</w:t>
      </w:r>
    </w:p>
    <w:p w14:paraId="0884C444">
      <w:pPr>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rPr>
        <w:t xml:space="preserve">Dakhane, P. S., Lokhande, D. U., Khandekar, G. S., Yadav, G. U., Tripathi, S. D., Ingole, S. D. &amp; Kadam, D. P. (2021). Radiographic evaluation of long bone fractures by using antibiotic loaded bone cement (ALBC) and biosynthetic bone graft in dogs. </w:t>
      </w:r>
      <w:r>
        <w:rPr>
          <w:rFonts w:ascii="Times New Roman" w:hAnsi="Times New Roman" w:cs="Times New Roman"/>
          <w:i/>
          <w:sz w:val="20"/>
          <w:szCs w:val="20"/>
        </w:rPr>
        <w:t>International Journal of Current Microbiology and Applied Sciences</w:t>
      </w:r>
      <w:r>
        <w:rPr>
          <w:rFonts w:ascii="Times New Roman" w:hAnsi="Times New Roman" w:cs="Times New Roman"/>
          <w:sz w:val="20"/>
          <w:szCs w:val="20"/>
        </w:rPr>
        <w:t>, 10(5), 489-501.</w:t>
      </w:r>
    </w:p>
    <w:p w14:paraId="553BD1FB">
      <w:pPr>
        <w:tabs>
          <w:tab w:val="left" w:pos="4530"/>
          <w:tab w:val="left" w:pos="10440"/>
        </w:tabs>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rPr>
        <w:t xml:space="preserve">DeCamp, C. E., Johnston, S. A., Déjardin, L. M. &amp; Schaefer, S. L. (2016). </w:t>
      </w:r>
      <w:r>
        <w:rPr>
          <w:rFonts w:ascii="Times New Roman" w:hAnsi="Times New Roman" w:cs="Times New Roman"/>
          <w:i/>
          <w:iCs/>
          <w:sz w:val="20"/>
          <w:szCs w:val="20"/>
        </w:rPr>
        <w:t xml:space="preserve">Brinker, Piermattei, and Flo’s Handbook of Small Animal Orthopaedics and Fracture Repair </w:t>
      </w:r>
      <w:r>
        <w:rPr>
          <w:rFonts w:ascii="Times New Roman" w:hAnsi="Times New Roman" w:cs="Times New Roman"/>
          <w:sz w:val="20"/>
          <w:szCs w:val="20"/>
        </w:rPr>
        <w:t>(5</w:t>
      </w:r>
      <w:r>
        <w:rPr>
          <w:rFonts w:ascii="Times New Roman" w:hAnsi="Times New Roman" w:cs="Times New Roman"/>
          <w:sz w:val="20"/>
          <w:szCs w:val="20"/>
          <w:vertAlign w:val="superscript"/>
        </w:rPr>
        <w:t xml:space="preserve">th </w:t>
      </w:r>
      <w:r>
        <w:rPr>
          <w:rFonts w:ascii="Times New Roman" w:hAnsi="Times New Roman" w:cs="Times New Roman"/>
          <w:sz w:val="20"/>
          <w:szCs w:val="20"/>
        </w:rPr>
        <w:t>Ed.).Elsevier; St. Louis, Missouri.</w:t>
      </w:r>
    </w:p>
    <w:p w14:paraId="21F064FF">
      <w:pPr>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shd w:val="clear" w:color="auto" w:fill="FFFFFF"/>
        </w:rPr>
        <w:t>Dudley, M., Johnson, A. L., Olmstead, M., Smith, C. W., Schaeffer, D. J. &amp; Abbuehl, U. (1997). Open reduction and bone plate stabilization, compared with closed reduction and external fixation, for treatment of comminuted tibial fractures: 47 cases (1980–1995) in dogs. </w:t>
      </w:r>
      <w:r>
        <w:rPr>
          <w:rFonts w:ascii="Times New Roman" w:hAnsi="Times New Roman" w:cs="Times New Roman"/>
          <w:i/>
          <w:iCs/>
          <w:sz w:val="20"/>
          <w:szCs w:val="20"/>
          <w:shd w:val="clear" w:color="auto" w:fill="FFFFFF"/>
        </w:rPr>
        <w:t>Journal of the American Veterinary Medical Association</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211</w:t>
      </w:r>
      <w:r>
        <w:rPr>
          <w:rFonts w:ascii="Times New Roman" w:hAnsi="Times New Roman" w:cs="Times New Roman"/>
          <w:sz w:val="20"/>
          <w:szCs w:val="20"/>
          <w:shd w:val="clear" w:color="auto" w:fill="FFFFFF"/>
        </w:rPr>
        <w:t>(8), 1008-1012.</w:t>
      </w:r>
    </w:p>
    <w:p w14:paraId="11249E75">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Elzomor, S. T., Sheta, E. M. E., Farghali, H. A. &amp; Ashour, A. E. (2014). Prevalence of femoral fractures in dogs and cats. </w:t>
      </w:r>
      <w:r>
        <w:rPr>
          <w:rFonts w:ascii="Times New Roman" w:hAnsi="Times New Roman" w:cs="Times New Roman"/>
          <w:i/>
          <w:iCs/>
          <w:sz w:val="20"/>
          <w:szCs w:val="20"/>
          <w:shd w:val="clear" w:color="auto" w:fill="FFFFFF"/>
        </w:rPr>
        <w:t>Journal of the Egyptian Veterinary Medical Association</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74</w:t>
      </w:r>
      <w:r>
        <w:rPr>
          <w:rFonts w:ascii="Times New Roman" w:hAnsi="Times New Roman" w:cs="Times New Roman"/>
          <w:sz w:val="20"/>
          <w:szCs w:val="20"/>
          <w:shd w:val="clear" w:color="auto" w:fill="FFFFFF"/>
        </w:rPr>
        <w:t>(2), 269-278.</w:t>
      </w:r>
    </w:p>
    <w:p w14:paraId="5C7D2D63">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Eyarefe, O. D. &amp; Oyetayo, S. N. (2016).Prevalence and pattern of small animal orthopaedic conditions at the Veterinary Teaching Hospital, University of Ibadan. </w:t>
      </w:r>
      <w:r>
        <w:rPr>
          <w:rFonts w:ascii="Times New Roman" w:hAnsi="Times New Roman" w:cs="Times New Roman"/>
          <w:i/>
          <w:iCs/>
          <w:sz w:val="20"/>
          <w:szCs w:val="20"/>
          <w:shd w:val="clear" w:color="auto" w:fill="FFFFFF"/>
        </w:rPr>
        <w:t>Sokoto Journal of Veterinary Sciences</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14</w:t>
      </w:r>
      <w:r>
        <w:rPr>
          <w:rFonts w:ascii="Times New Roman" w:hAnsi="Times New Roman" w:cs="Times New Roman"/>
          <w:sz w:val="20"/>
          <w:szCs w:val="20"/>
          <w:shd w:val="clear" w:color="auto" w:fill="FFFFFF"/>
        </w:rPr>
        <w:t>(2), 8-15.</w:t>
      </w:r>
    </w:p>
    <w:p w14:paraId="7B83CD7E">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Fang, D. M., Ritter, M. A. &amp; Davis, K. E. (2009). </w:t>
      </w:r>
      <w:r>
        <w:rPr>
          <w:rFonts w:ascii="Times New Roman" w:hAnsi="Times New Roman" w:cs="Times New Roman"/>
          <w:iCs/>
          <w:sz w:val="20"/>
          <w:szCs w:val="20"/>
          <w:shd w:val="clear" w:color="auto" w:fill="FFFFFF"/>
        </w:rPr>
        <w:t xml:space="preserve">Coronal alignment in total knee arthroplasty. </w:t>
      </w:r>
      <w:r>
        <w:rPr>
          <w:rFonts w:ascii="Times New Roman" w:hAnsi="Times New Roman" w:cs="Times New Roman"/>
          <w:i/>
          <w:iCs/>
          <w:sz w:val="20"/>
          <w:szCs w:val="20"/>
          <w:shd w:val="clear" w:color="auto" w:fill="FFFFFF"/>
        </w:rPr>
        <w:t>Journal of Arthroplasty</w:t>
      </w:r>
      <w:r>
        <w:rPr>
          <w:rFonts w:ascii="Times New Roman" w:hAnsi="Times New Roman" w:cs="Times New Roman"/>
          <w:iCs/>
          <w:sz w:val="20"/>
          <w:szCs w:val="20"/>
          <w:shd w:val="clear" w:color="auto" w:fill="FFFFFF"/>
        </w:rPr>
        <w:t>, 24(6), 39–43.</w:t>
      </w:r>
      <w:r>
        <w:rPr>
          <w:rFonts w:ascii="Times New Roman" w:hAnsi="Times New Roman" w:cs="Times New Roman"/>
          <w:sz w:val="20"/>
          <w:szCs w:val="20"/>
          <w:shd w:val="clear" w:color="auto" w:fill="FFFFFF"/>
        </w:rPr>
        <w:t> doi:10.1016/j.arth.2009.04.034.</w:t>
      </w:r>
    </w:p>
    <w:p w14:paraId="09D3A2CE">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Fathy, M. Z., Ragab, G. H., Seif, M. M., Gadallah, S. M., Deeb, S. &amp; Safwat, N. M. (2018). Clinico-radiographic and histopathologic evaluation of iliac shaft fracture in dogs (An experimental study). </w:t>
      </w:r>
      <w:r>
        <w:rPr>
          <w:rFonts w:ascii="Times New Roman" w:hAnsi="Times New Roman" w:cs="Times New Roman"/>
          <w:i/>
          <w:iCs/>
          <w:sz w:val="20"/>
          <w:szCs w:val="20"/>
          <w:shd w:val="clear" w:color="auto" w:fill="FFFFFF"/>
        </w:rPr>
        <w:t>Beni-Suef University Journal of Basic and Applied Sciences</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7</w:t>
      </w:r>
      <w:r>
        <w:rPr>
          <w:rFonts w:ascii="Times New Roman" w:hAnsi="Times New Roman" w:cs="Times New Roman"/>
          <w:sz w:val="20"/>
          <w:szCs w:val="20"/>
          <w:shd w:val="clear" w:color="auto" w:fill="FFFFFF"/>
        </w:rPr>
        <w:t>(2), 165-170.</w:t>
      </w:r>
    </w:p>
    <w:p w14:paraId="4F35ECB0">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rPr>
        <w:t xml:space="preserve">Fossum, T.W. (2013). </w:t>
      </w:r>
      <w:r>
        <w:rPr>
          <w:rFonts w:ascii="Times New Roman" w:hAnsi="Times New Roman" w:cs="Times New Roman"/>
          <w:i/>
          <w:sz w:val="20"/>
          <w:szCs w:val="20"/>
        </w:rPr>
        <w:t>Small Animal Surgery</w:t>
      </w:r>
      <w:r>
        <w:rPr>
          <w:rFonts w:ascii="Times New Roman" w:hAnsi="Times New Roman" w:cs="Times New Roman"/>
          <w:sz w:val="20"/>
          <w:szCs w:val="20"/>
        </w:rPr>
        <w:t xml:space="preserve"> (4</w:t>
      </w:r>
      <w:r>
        <w:rPr>
          <w:rFonts w:ascii="Times New Roman" w:hAnsi="Times New Roman" w:cs="Times New Roman"/>
          <w:sz w:val="20"/>
          <w:szCs w:val="20"/>
          <w:vertAlign w:val="superscript"/>
        </w:rPr>
        <w:t>th</w:t>
      </w:r>
      <w:r>
        <w:rPr>
          <w:rFonts w:ascii="Times New Roman" w:hAnsi="Times New Roman" w:cs="Times New Roman"/>
          <w:sz w:val="20"/>
          <w:szCs w:val="20"/>
        </w:rPr>
        <w:t xml:space="preserve"> edn., pp. 930-931). Mosby Elsevier, Missouri USA.</w:t>
      </w:r>
    </w:p>
    <w:p w14:paraId="40C81FE7">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rPr>
        <w:t xml:space="preserve">Gaddam, V. (2024). The possible risk factors for bone fractures in animals and management of pre and postoperative pain. </w:t>
      </w:r>
      <w:r>
        <w:rPr>
          <w:rFonts w:ascii="Times New Roman" w:hAnsi="Times New Roman" w:cs="Times New Roman"/>
          <w:i/>
          <w:sz w:val="20"/>
          <w:szCs w:val="20"/>
        </w:rPr>
        <w:t>Journal of Skeleton System</w:t>
      </w:r>
      <w:r>
        <w:rPr>
          <w:rFonts w:ascii="Times New Roman" w:hAnsi="Times New Roman" w:cs="Times New Roman"/>
          <w:sz w:val="20"/>
          <w:szCs w:val="20"/>
        </w:rPr>
        <w:t>, 3(1). DOI: 10.58489/2836-2284/009.</w:t>
      </w:r>
    </w:p>
    <w:p w14:paraId="0A424E09">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Harasen, G. (2003a). Common long bone fracture in small animal practice—Part 2. </w:t>
      </w:r>
      <w:r>
        <w:rPr>
          <w:rFonts w:ascii="Times New Roman" w:hAnsi="Times New Roman" w:cs="Times New Roman"/>
          <w:i/>
          <w:iCs/>
          <w:sz w:val="20"/>
          <w:szCs w:val="20"/>
          <w:shd w:val="clear" w:color="auto" w:fill="FFFFFF"/>
        </w:rPr>
        <w:t>The Canadian Veterinary Journal</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44</w:t>
      </w:r>
      <w:r>
        <w:rPr>
          <w:rFonts w:ascii="Times New Roman" w:hAnsi="Times New Roman" w:cs="Times New Roman"/>
          <w:sz w:val="20"/>
          <w:szCs w:val="20"/>
          <w:shd w:val="clear" w:color="auto" w:fill="FFFFFF"/>
        </w:rPr>
        <w:t>(6), 503.</w:t>
      </w:r>
    </w:p>
    <w:p w14:paraId="45582131">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Harasen, G. (2003b). Common long bone fractures in small animal practice—part 1. </w:t>
      </w:r>
      <w:r>
        <w:rPr>
          <w:rFonts w:ascii="Times New Roman" w:hAnsi="Times New Roman" w:cs="Times New Roman"/>
          <w:i/>
          <w:iCs/>
          <w:sz w:val="20"/>
          <w:szCs w:val="20"/>
          <w:shd w:val="clear" w:color="auto" w:fill="FFFFFF"/>
        </w:rPr>
        <w:t>The Canadian Veterinary Journal</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44</w:t>
      </w:r>
      <w:r>
        <w:rPr>
          <w:rFonts w:ascii="Times New Roman" w:hAnsi="Times New Roman" w:cs="Times New Roman"/>
          <w:sz w:val="20"/>
          <w:szCs w:val="20"/>
          <w:shd w:val="clear" w:color="auto" w:fill="FFFFFF"/>
        </w:rPr>
        <w:t>(4), 333-334.</w:t>
      </w:r>
    </w:p>
    <w:p w14:paraId="6518CA05">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rPr>
        <w:t xml:space="preserve">Harshitha, G., Nagaraja, B.N., Suresh, L., Nagaraju, N. &amp; Ansar Kamran, C. (2023). Management of radius-ulna fractures with modified type II external skeletal fixation in dogs. </w:t>
      </w:r>
      <w:r>
        <w:rPr>
          <w:rFonts w:ascii="Times New Roman" w:hAnsi="Times New Roman" w:cs="Times New Roman"/>
          <w:i/>
          <w:sz w:val="20"/>
          <w:szCs w:val="20"/>
        </w:rPr>
        <w:t>The Pharma Innovation Journal</w:t>
      </w:r>
      <w:r>
        <w:rPr>
          <w:rFonts w:ascii="Times New Roman" w:hAnsi="Times New Roman" w:cs="Times New Roman"/>
          <w:sz w:val="20"/>
          <w:szCs w:val="20"/>
        </w:rPr>
        <w:t>, 12(2), 1052-1056.</w:t>
      </w:r>
    </w:p>
    <w:p w14:paraId="30D61427">
      <w:pPr>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shd w:val="clear" w:color="auto" w:fill="FFFFFF"/>
        </w:rPr>
        <w:t xml:space="preserve">Henry, G.A. &amp; Cole, R. (2018).Fracture healing and complications in dogs. In: Thrall, D.E. (Ed.) </w:t>
      </w:r>
      <w:r>
        <w:rPr>
          <w:rFonts w:ascii="Times New Roman" w:hAnsi="Times New Roman" w:cs="Times New Roman"/>
          <w:i/>
          <w:sz w:val="20"/>
          <w:szCs w:val="20"/>
          <w:shd w:val="clear" w:color="auto" w:fill="FFFFFF"/>
        </w:rPr>
        <w:t xml:space="preserve">Textbook of Veterinary Diagnostic Radiology </w:t>
      </w:r>
      <w:r>
        <w:rPr>
          <w:rFonts w:ascii="Times New Roman" w:hAnsi="Times New Roman" w:cs="Times New Roman"/>
          <w:sz w:val="20"/>
          <w:szCs w:val="20"/>
          <w:shd w:val="clear" w:color="auto" w:fill="FFFFFF"/>
        </w:rPr>
        <w:t>(7</w:t>
      </w:r>
      <w:r>
        <w:rPr>
          <w:rFonts w:ascii="Times New Roman" w:hAnsi="Times New Roman" w:cs="Times New Roman"/>
          <w:sz w:val="20"/>
          <w:szCs w:val="20"/>
          <w:shd w:val="clear" w:color="auto" w:fill="FFFFFF"/>
          <w:vertAlign w:val="superscript"/>
        </w:rPr>
        <w:t>th</w:t>
      </w:r>
      <w:r>
        <w:rPr>
          <w:rFonts w:ascii="Times New Roman" w:hAnsi="Times New Roman" w:cs="Times New Roman"/>
          <w:sz w:val="20"/>
          <w:szCs w:val="20"/>
          <w:shd w:val="clear" w:color="auto" w:fill="FFFFFF"/>
        </w:rPr>
        <w:t>Edn. pp. 366-387). Elsevier; USA.</w:t>
      </w:r>
    </w:p>
    <w:p w14:paraId="64868FDB">
      <w:pPr>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rPr>
        <w:t xml:space="preserve">Jain, R., Shukla, B.P., Nema, S., Shukla, S., Chabra, D. &amp; Karmore, S.K. (2018). Incidence of fracture in dog: a retrospective study. </w:t>
      </w:r>
      <w:r>
        <w:rPr>
          <w:rFonts w:ascii="Times New Roman" w:hAnsi="Times New Roman" w:cs="Times New Roman"/>
          <w:i/>
          <w:sz w:val="20"/>
          <w:szCs w:val="20"/>
        </w:rPr>
        <w:t>Veterinary Practitioner</w:t>
      </w:r>
      <w:r>
        <w:rPr>
          <w:rFonts w:ascii="Times New Roman" w:hAnsi="Times New Roman" w:cs="Times New Roman"/>
          <w:sz w:val="20"/>
          <w:szCs w:val="20"/>
        </w:rPr>
        <w:t>, 19(1), 63-65.</w:t>
      </w:r>
    </w:p>
    <w:p w14:paraId="3D2B3830">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Johnson, A. L., Seitz, S. E., Smith, C. W., Johnson, J. M. &amp; Schaeffer, D. J. (1996). Closed reduction and type-II external fixation of comminuted fractures of the radius and tibia in dogs: 23 cases (1990–1994). </w:t>
      </w:r>
      <w:r>
        <w:rPr>
          <w:rFonts w:ascii="Times New Roman" w:hAnsi="Times New Roman" w:cs="Times New Roman"/>
          <w:i/>
          <w:iCs/>
          <w:sz w:val="20"/>
          <w:szCs w:val="20"/>
          <w:shd w:val="clear" w:color="auto" w:fill="FFFFFF"/>
        </w:rPr>
        <w:t>Journal of the American Veterinary Medical Association</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209</w:t>
      </w:r>
      <w:r>
        <w:rPr>
          <w:rFonts w:ascii="Times New Roman" w:hAnsi="Times New Roman" w:cs="Times New Roman"/>
          <w:sz w:val="20"/>
          <w:szCs w:val="20"/>
          <w:shd w:val="clear" w:color="auto" w:fill="FFFFFF"/>
        </w:rPr>
        <w:t>(8), 1445-1448.</w:t>
      </w:r>
    </w:p>
    <w:p w14:paraId="4243D378">
      <w:pPr>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shd w:val="clear" w:color="auto" w:fill="FFFFFF"/>
        </w:rPr>
        <w:t>Keosengthong, A., Kampa, N., Jitpean, S., Seesupa, S., Kunkitti, P. &amp; Hoisang, S. (2019). Incidence and classification of bone fracture in dogs and cats: a retrospective study at veterinary teaching hospital, Khon Kaen University, Thailand (2013-2016). </w:t>
      </w:r>
      <w:r>
        <w:rPr>
          <w:rFonts w:ascii="Times New Roman" w:hAnsi="Times New Roman" w:cs="Times New Roman"/>
          <w:i/>
          <w:iCs/>
          <w:sz w:val="20"/>
          <w:szCs w:val="20"/>
          <w:shd w:val="clear" w:color="auto" w:fill="FFFFFF"/>
        </w:rPr>
        <w:t>Veterinary Integrative Sciences</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17</w:t>
      </w:r>
      <w:r>
        <w:rPr>
          <w:rFonts w:ascii="Times New Roman" w:hAnsi="Times New Roman" w:cs="Times New Roman"/>
          <w:sz w:val="20"/>
          <w:szCs w:val="20"/>
          <w:shd w:val="clear" w:color="auto" w:fill="FFFFFF"/>
        </w:rPr>
        <w:t>(2), 127-139.</w:t>
      </w:r>
    </w:p>
    <w:p w14:paraId="0856DFF6">
      <w:pPr>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rPr>
        <w:t xml:space="preserve">Kinns, J., Mai, W., Seiler, G., Zwingenberger, A., Johnson, V., Caceres, A., Valdes-Martinez, A. &amp; Schwarz, T. (2006).Radiographic sensitivity and negative predictive value for acute canine spinal trauma. </w:t>
      </w:r>
      <w:r>
        <w:rPr>
          <w:rFonts w:ascii="Times New Roman" w:hAnsi="Times New Roman" w:cs="Times New Roman"/>
          <w:i/>
          <w:sz w:val="20"/>
          <w:szCs w:val="20"/>
        </w:rPr>
        <w:t>Veterinary Radiology and Ultrasound</w:t>
      </w:r>
      <w:r>
        <w:rPr>
          <w:rFonts w:ascii="Times New Roman" w:hAnsi="Times New Roman" w:cs="Times New Roman"/>
          <w:sz w:val="20"/>
          <w:szCs w:val="20"/>
        </w:rPr>
        <w:t>, 47(6), 563–570.</w:t>
      </w:r>
    </w:p>
    <w:p w14:paraId="53DF9D72">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Kumar, V., Lalzawmliana, V., Mukherjee, P. &amp; Nandi, S. K. (2018). Surgical management of distal diaphyseal fracture in radius and ulna using t-plate in whippet dog. </w:t>
      </w:r>
      <w:r>
        <w:rPr>
          <w:rFonts w:ascii="Times New Roman" w:hAnsi="Times New Roman" w:cs="Times New Roman"/>
          <w:i/>
          <w:iCs/>
          <w:sz w:val="20"/>
          <w:szCs w:val="20"/>
          <w:shd w:val="clear" w:color="auto" w:fill="FFFFFF"/>
        </w:rPr>
        <w:t>Indian Journal of Animal Health</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57</w:t>
      </w:r>
      <w:r>
        <w:rPr>
          <w:rFonts w:ascii="Times New Roman" w:hAnsi="Times New Roman" w:cs="Times New Roman"/>
          <w:sz w:val="20"/>
          <w:szCs w:val="20"/>
          <w:shd w:val="clear" w:color="auto" w:fill="FFFFFF"/>
        </w:rPr>
        <w:t>(1), 121-124.</w:t>
      </w:r>
    </w:p>
    <w:p w14:paraId="5360C8FE">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Kumar, B. B., Sharma, A. K., Reetu, P. K., Kumar, C. &amp; Kumar, R. (2020). Study on incidence of fractures with respect to breed, age, sex, type and location of fractures and bone involved. </w:t>
      </w:r>
      <w:r>
        <w:rPr>
          <w:rFonts w:ascii="Times New Roman" w:hAnsi="Times New Roman" w:cs="Times New Roman"/>
          <w:i/>
          <w:sz w:val="20"/>
          <w:szCs w:val="20"/>
        </w:rPr>
        <w:t>Journal of Entomology and Zoology Studies</w:t>
      </w:r>
      <w:r>
        <w:rPr>
          <w:rFonts w:ascii="Times New Roman" w:hAnsi="Times New Roman" w:cs="Times New Roman"/>
          <w:sz w:val="20"/>
          <w:szCs w:val="20"/>
        </w:rPr>
        <w:t xml:space="preserve">, </w:t>
      </w:r>
      <w:r>
        <w:rPr>
          <w:rFonts w:ascii="Times New Roman" w:hAnsi="Times New Roman" w:cs="Times New Roman"/>
          <w:iCs/>
          <w:sz w:val="20"/>
          <w:szCs w:val="20"/>
          <w:shd w:val="clear" w:color="auto" w:fill="FFFFFF"/>
        </w:rPr>
        <w:t>8</w:t>
      </w:r>
      <w:r>
        <w:rPr>
          <w:rFonts w:ascii="Times New Roman" w:hAnsi="Times New Roman" w:cs="Times New Roman"/>
          <w:sz w:val="20"/>
          <w:szCs w:val="20"/>
          <w:shd w:val="clear" w:color="auto" w:fill="FFFFFF"/>
        </w:rPr>
        <w:t>(2), 21-24.</w:t>
      </w:r>
    </w:p>
    <w:p w14:paraId="3850697B">
      <w:pPr>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rPr>
        <w:t xml:space="preserve">Langley-Hobbs, S. (2003).Biology and Radiological Assessment of Fracture Healing. </w:t>
      </w:r>
      <w:r>
        <w:rPr>
          <w:rFonts w:ascii="Times New Roman" w:hAnsi="Times New Roman" w:cs="Times New Roman"/>
          <w:i/>
          <w:sz w:val="20"/>
          <w:szCs w:val="20"/>
        </w:rPr>
        <w:t>In Practice</w:t>
      </w:r>
      <w:r>
        <w:rPr>
          <w:rFonts w:ascii="Times New Roman" w:hAnsi="Times New Roman" w:cs="Times New Roman"/>
          <w:sz w:val="20"/>
          <w:szCs w:val="20"/>
        </w:rPr>
        <w:t>, 25, 26-35.</w:t>
      </w:r>
    </w:p>
    <w:p w14:paraId="664FCC2B">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Lovrić, L., Kreszinger, M. &amp; Pećin, M. (2020).Surgical Treatment of Canine Femoral Fractures–A Review. </w:t>
      </w:r>
      <w:r>
        <w:rPr>
          <w:rFonts w:ascii="Times New Roman" w:hAnsi="Times New Roman" w:cs="Times New Roman"/>
          <w:i/>
          <w:iCs/>
          <w:sz w:val="20"/>
          <w:szCs w:val="20"/>
          <w:shd w:val="clear" w:color="auto" w:fill="FFFFFF"/>
        </w:rPr>
        <w:t>World's Veterinary Journal</w:t>
      </w:r>
      <w:r>
        <w:rPr>
          <w:rFonts w:ascii="Times New Roman" w:hAnsi="Times New Roman" w:cs="Times New Roman"/>
          <w:sz w:val="20"/>
          <w:szCs w:val="20"/>
          <w:shd w:val="clear" w:color="auto" w:fill="FFFFFF"/>
        </w:rPr>
        <w:t>, 10(2), 137-145.</w:t>
      </w:r>
    </w:p>
    <w:p w14:paraId="379F9EEF">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Marcellin-Little, D. (2020). The orthopedic examination in dogs: a fast and effective tool. In: </w:t>
      </w:r>
      <w:r>
        <w:rPr>
          <w:rFonts w:ascii="Times New Roman" w:hAnsi="Times New Roman" w:cs="Times New Roman"/>
          <w:i/>
          <w:iCs/>
          <w:sz w:val="20"/>
          <w:szCs w:val="20"/>
          <w:shd w:val="clear" w:color="auto" w:fill="FFFFFF"/>
        </w:rPr>
        <w:t xml:space="preserve">138th Annual Convention of the Illinois State Veterinary Medical Association (ISVMA). </w:t>
      </w:r>
      <w:r>
        <w:fldChar w:fldCharType="begin"/>
      </w:r>
      <w:r>
        <w:instrText xml:space="preserve"> HYPERLINK "https://www.isvma.org/wpcontent/uploads/2020/10/TheOthropedicExaminationinDogsAFastandEffectiveTool.pdf" </w:instrText>
      </w:r>
      <w:r>
        <w:fldChar w:fldCharType="separate"/>
      </w:r>
      <w:r>
        <w:rPr>
          <w:rStyle w:val="9"/>
          <w:rFonts w:ascii="Times New Roman" w:hAnsi="Times New Roman" w:cs="Times New Roman"/>
          <w:i/>
          <w:iCs/>
          <w:sz w:val="20"/>
          <w:szCs w:val="20"/>
          <w:shd w:val="clear" w:color="auto" w:fill="FFFFFF"/>
        </w:rPr>
        <w:t>https://www.isvma.org/wpcontent/uploads/2020/10/TheOthropedicExaminationinDogsAFastandEffectiveTool.pdf</w:t>
      </w:r>
      <w:r>
        <w:rPr>
          <w:rStyle w:val="9"/>
          <w:rFonts w:ascii="Times New Roman" w:hAnsi="Times New Roman" w:cs="Times New Roman"/>
          <w:i/>
          <w:iCs/>
          <w:sz w:val="20"/>
          <w:szCs w:val="20"/>
          <w:shd w:val="clear" w:color="auto" w:fill="FFFFFF"/>
        </w:rPr>
        <w:fldChar w:fldCharType="end"/>
      </w:r>
      <w:r>
        <w:rPr>
          <w:rFonts w:ascii="Times New Roman" w:hAnsi="Times New Roman" w:cs="Times New Roman"/>
          <w:sz w:val="20"/>
          <w:szCs w:val="20"/>
          <w:shd w:val="clear" w:color="auto" w:fill="FFFFFF"/>
        </w:rPr>
        <w:t>.Retrieved on 10/01/2025.</w:t>
      </w:r>
    </w:p>
    <w:p w14:paraId="5E4F70DE">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Markel, M. D., Sielman, E., Rapoff, A. J. &amp; Kohles, S. S. (1994). Mechanical properties of long bones in dogs. </w:t>
      </w:r>
      <w:r>
        <w:rPr>
          <w:rFonts w:ascii="Times New Roman" w:hAnsi="Times New Roman" w:cs="Times New Roman"/>
          <w:i/>
          <w:iCs/>
          <w:sz w:val="20"/>
          <w:szCs w:val="20"/>
          <w:shd w:val="clear" w:color="auto" w:fill="FFFFFF"/>
        </w:rPr>
        <w:t>American Journal of Veterinary Research</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55</w:t>
      </w:r>
      <w:r>
        <w:rPr>
          <w:rFonts w:ascii="Times New Roman" w:hAnsi="Times New Roman" w:cs="Times New Roman"/>
          <w:sz w:val="20"/>
          <w:szCs w:val="20"/>
          <w:shd w:val="clear" w:color="auto" w:fill="FFFFFF"/>
        </w:rPr>
        <w:t>(8), 1178-1183.</w:t>
      </w:r>
    </w:p>
    <w:p w14:paraId="7C0D1C87">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Meomartino, L., Greco, A., Di Giancamillo, M., Brunetti, A. &amp; Gnudi, G. (2021).Imaging techniques in veterinary medicine. Part I: radiography and ultrasonography. </w:t>
      </w:r>
      <w:r>
        <w:rPr>
          <w:rFonts w:ascii="Times New Roman" w:hAnsi="Times New Roman" w:cs="Times New Roman"/>
          <w:i/>
          <w:iCs/>
          <w:sz w:val="20"/>
          <w:szCs w:val="20"/>
          <w:shd w:val="clear" w:color="auto" w:fill="FFFFFF"/>
        </w:rPr>
        <w:t>European Journal of Radiology Open</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8</w:t>
      </w:r>
      <w:r>
        <w:rPr>
          <w:rFonts w:ascii="Times New Roman" w:hAnsi="Times New Roman" w:cs="Times New Roman"/>
          <w:sz w:val="20"/>
          <w:szCs w:val="20"/>
          <w:shd w:val="clear" w:color="auto" w:fill="FFFFFF"/>
        </w:rPr>
        <w:t>, 100382.</w:t>
      </w:r>
    </w:p>
    <w:p w14:paraId="3E482A43">
      <w:pPr>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rPr>
        <w:t xml:space="preserve">Mohan, A., Mahesh, V., Manjunatha, K., Murthy, M. S. K. &amp; Nagaraja, B. N. (2024). Studies on management of radius fractures in dogs using point contact fixator plate system (PC-FIX). </w:t>
      </w:r>
      <w:r>
        <w:rPr>
          <w:rFonts w:ascii="Times New Roman" w:hAnsi="Times New Roman" w:cs="Times New Roman"/>
          <w:i/>
          <w:sz w:val="20"/>
          <w:szCs w:val="20"/>
        </w:rPr>
        <w:t>International Journal of Veterinary Sciences and Animal Husbandry</w:t>
      </w:r>
      <w:r>
        <w:rPr>
          <w:rFonts w:ascii="Times New Roman" w:hAnsi="Times New Roman" w:cs="Times New Roman"/>
          <w:sz w:val="20"/>
          <w:szCs w:val="20"/>
        </w:rPr>
        <w:t xml:space="preserve">, 9(5), 256-262. </w:t>
      </w:r>
    </w:p>
    <w:p w14:paraId="0FE2766E">
      <w:pPr>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rPr>
        <w:t xml:space="preserve">Morgan, J. P. &amp; Wolvekamp, P. (2004). </w:t>
      </w:r>
      <w:r>
        <w:rPr>
          <w:rFonts w:ascii="Times New Roman" w:hAnsi="Times New Roman" w:cs="Times New Roman"/>
          <w:i/>
          <w:sz w:val="20"/>
          <w:szCs w:val="20"/>
        </w:rPr>
        <w:t>Atlas of Radiology of Traumatized Dog and Cat</w:t>
      </w:r>
      <w:r>
        <w:rPr>
          <w:rFonts w:ascii="Times New Roman" w:hAnsi="Times New Roman" w:cs="Times New Roman"/>
          <w:sz w:val="20"/>
          <w:szCs w:val="20"/>
        </w:rPr>
        <w:t>, (2</w:t>
      </w:r>
      <w:r>
        <w:rPr>
          <w:rFonts w:ascii="Times New Roman" w:hAnsi="Times New Roman" w:cs="Times New Roman"/>
          <w:sz w:val="20"/>
          <w:szCs w:val="20"/>
          <w:vertAlign w:val="superscript"/>
        </w:rPr>
        <w:t xml:space="preserve">nd </w:t>
      </w:r>
      <w:r>
        <w:rPr>
          <w:rFonts w:ascii="Times New Roman" w:hAnsi="Times New Roman" w:cs="Times New Roman"/>
          <w:sz w:val="20"/>
          <w:szCs w:val="20"/>
        </w:rPr>
        <w:t>edn.) Schluterche, Hannover.</w:t>
      </w:r>
    </w:p>
    <w:p w14:paraId="52C47CD5">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Özsoy, S. &amp; Altunatmaz, K. (2003). Treatment of extremity fractures in dogs using external fixators with closed reduction and limited open approach. </w:t>
      </w:r>
      <w:r>
        <w:rPr>
          <w:rFonts w:ascii="Times New Roman" w:hAnsi="Times New Roman" w:cs="Times New Roman"/>
          <w:i/>
          <w:iCs/>
          <w:sz w:val="20"/>
          <w:szCs w:val="20"/>
          <w:shd w:val="clear" w:color="auto" w:fill="FFFFFF"/>
        </w:rPr>
        <w:t>Veterinárí Medicína</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48</w:t>
      </w:r>
      <w:r>
        <w:rPr>
          <w:rFonts w:ascii="Times New Roman" w:hAnsi="Times New Roman" w:cs="Times New Roman"/>
          <w:sz w:val="20"/>
          <w:szCs w:val="20"/>
          <w:shd w:val="clear" w:color="auto" w:fill="FFFFFF"/>
        </w:rPr>
        <w:t>(5), 133.</w:t>
      </w:r>
    </w:p>
    <w:p w14:paraId="2E625FA7">
      <w:pPr>
        <w:spacing w:after="0" w:line="240" w:lineRule="auto"/>
        <w:ind w:left="540" w:hanging="360"/>
        <w:jc w:val="both"/>
        <w:rPr>
          <w:rStyle w:val="9"/>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Palmer, R. H. (2020). How to fix a femur fracture with IM pin and cerclage wire: step by step. </w:t>
      </w:r>
      <w:r>
        <w:rPr>
          <w:rFonts w:ascii="Times New Roman" w:hAnsi="Times New Roman" w:cs="Times New Roman"/>
          <w:i/>
          <w:sz w:val="20"/>
          <w:szCs w:val="20"/>
          <w:shd w:val="clear" w:color="auto" w:fill="FFFFFF"/>
        </w:rPr>
        <w:t>Small Animal: Orthopedics</w:t>
      </w:r>
      <w:r>
        <w:rPr>
          <w:rFonts w:ascii="Times New Roman" w:hAnsi="Times New Roman" w:cs="Times New Roman"/>
          <w:sz w:val="20"/>
          <w:szCs w:val="20"/>
          <w:shd w:val="clear" w:color="auto" w:fill="FFFFFF"/>
        </w:rPr>
        <w:t xml:space="preserve">. Retrieved from </w:t>
      </w:r>
      <w:r>
        <w:fldChar w:fldCharType="begin"/>
      </w:r>
      <w:r>
        <w:instrText xml:space="preserve"> HYPERLINK "https://www.cabidigitallibrary.org/doi/pdf/10.5555/20210293711" </w:instrText>
      </w:r>
      <w:r>
        <w:fldChar w:fldCharType="separate"/>
      </w:r>
      <w:r>
        <w:rPr>
          <w:rStyle w:val="9"/>
          <w:rFonts w:ascii="Times New Roman" w:hAnsi="Times New Roman" w:cs="Times New Roman"/>
          <w:sz w:val="20"/>
          <w:szCs w:val="20"/>
          <w:shd w:val="clear" w:color="auto" w:fill="FFFFFF"/>
        </w:rPr>
        <w:t>https://www.cabidigitallibrary.org/doi/pdf/10.5555/20210293711</w:t>
      </w:r>
      <w:r>
        <w:rPr>
          <w:rStyle w:val="9"/>
          <w:rFonts w:ascii="Times New Roman" w:hAnsi="Times New Roman" w:cs="Times New Roman"/>
          <w:sz w:val="20"/>
          <w:szCs w:val="20"/>
          <w:shd w:val="clear" w:color="auto" w:fill="FFFFFF"/>
        </w:rPr>
        <w:fldChar w:fldCharType="end"/>
      </w:r>
    </w:p>
    <w:p w14:paraId="168CEABD">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Phillips, I. R. (1979). A survey of bone fractures in the dog and cat. </w:t>
      </w:r>
      <w:r>
        <w:rPr>
          <w:rFonts w:ascii="Times New Roman" w:hAnsi="Times New Roman" w:cs="Times New Roman"/>
          <w:i/>
          <w:sz w:val="20"/>
          <w:szCs w:val="20"/>
          <w:shd w:val="clear" w:color="auto" w:fill="FFFFFF"/>
        </w:rPr>
        <w:t>Journal of Small Animal Practice</w:t>
      </w:r>
      <w:r>
        <w:rPr>
          <w:rFonts w:ascii="Times New Roman" w:hAnsi="Times New Roman" w:cs="Times New Roman"/>
          <w:sz w:val="20"/>
          <w:szCs w:val="20"/>
          <w:shd w:val="clear" w:color="auto" w:fill="FFFFFF"/>
        </w:rPr>
        <w:t>, 20(11), 661–674.</w:t>
      </w:r>
    </w:p>
    <w:p w14:paraId="1DF50177">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rPr>
        <w:t xml:space="preserve">Piermattei, D., Flo, G. &amp; DeCamp, C. (2006). </w:t>
      </w:r>
      <w:r>
        <w:rPr>
          <w:rFonts w:ascii="Times New Roman" w:hAnsi="Times New Roman" w:cs="Times New Roman"/>
          <w:i/>
          <w:sz w:val="20"/>
          <w:szCs w:val="20"/>
        </w:rPr>
        <w:t>Handbook of Small Animal Orthopedics and Fracture Repair</w:t>
      </w:r>
      <w:r>
        <w:rPr>
          <w:rFonts w:ascii="Times New Roman" w:hAnsi="Times New Roman" w:cs="Times New Roman"/>
          <w:sz w:val="20"/>
          <w:szCs w:val="20"/>
        </w:rPr>
        <w:t xml:space="preserve"> (4</w:t>
      </w:r>
      <w:r>
        <w:rPr>
          <w:rFonts w:ascii="Times New Roman" w:hAnsi="Times New Roman" w:cs="Times New Roman"/>
          <w:sz w:val="20"/>
          <w:szCs w:val="20"/>
          <w:vertAlign w:val="superscript"/>
        </w:rPr>
        <w:t>th</w:t>
      </w:r>
      <w:r>
        <w:rPr>
          <w:rFonts w:ascii="Times New Roman" w:hAnsi="Times New Roman" w:cs="Times New Roman"/>
          <w:sz w:val="20"/>
          <w:szCs w:val="20"/>
        </w:rPr>
        <w:t xml:space="preserve"> edn., pp. 49-94). Elsevier Inc., Missouri USA.</w:t>
      </w:r>
    </w:p>
    <w:p w14:paraId="138E7625">
      <w:pPr>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shd w:val="clear" w:color="auto" w:fill="FFFFFF"/>
        </w:rPr>
        <w:t>Purnomo, A., Budhi, S., Adji, D., Anggraeni, D., Anggoro, D., Widyarini, S., Chhetri, S. &amp; Purnama, M. T. E. (2022).Radiographic and Histological Evaluation in Canine Femur after Implantation of 304 Stainless-steel-based Plate. </w:t>
      </w:r>
      <w:r>
        <w:rPr>
          <w:rFonts w:ascii="Times New Roman" w:hAnsi="Times New Roman" w:cs="Times New Roman"/>
          <w:i/>
          <w:iCs/>
          <w:sz w:val="20"/>
          <w:szCs w:val="20"/>
          <w:shd w:val="clear" w:color="auto" w:fill="FFFFFF"/>
        </w:rPr>
        <w:t>Pharmacognosy Journal</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14</w:t>
      </w:r>
      <w:r>
        <w:rPr>
          <w:rFonts w:ascii="Times New Roman" w:hAnsi="Times New Roman" w:cs="Times New Roman"/>
          <w:sz w:val="20"/>
          <w:szCs w:val="20"/>
          <w:shd w:val="clear" w:color="auto" w:fill="FFFFFF"/>
        </w:rPr>
        <w:t xml:space="preserve">(4), </w:t>
      </w:r>
      <w:r>
        <w:rPr>
          <w:rFonts w:ascii="Times New Roman" w:hAnsi="Times New Roman" w:cs="Times New Roman"/>
          <w:sz w:val="20"/>
          <w:szCs w:val="20"/>
        </w:rPr>
        <w:t>388-392</w:t>
      </w:r>
      <w:r>
        <w:rPr>
          <w:rFonts w:ascii="Times New Roman" w:hAnsi="Times New Roman" w:cs="Times New Roman"/>
          <w:sz w:val="20"/>
          <w:szCs w:val="20"/>
          <w:shd w:val="clear" w:color="auto" w:fill="FFFFFF"/>
        </w:rPr>
        <w:t>.</w:t>
      </w:r>
    </w:p>
    <w:p w14:paraId="13D19955">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rPr>
        <w:t xml:space="preserve">Radasch, R. M., Lewis, D. F., McDonald, D. E., Calfee, E. F. &amp; Barstad, R. D. (2008). Pesvarus correction in dachshunds using a hybrid external fixation. </w:t>
      </w:r>
      <w:r>
        <w:rPr>
          <w:rFonts w:ascii="Times New Roman" w:hAnsi="Times New Roman" w:cs="Times New Roman"/>
          <w:i/>
          <w:sz w:val="20"/>
          <w:szCs w:val="20"/>
        </w:rPr>
        <w:t>Veterinary Surgery</w:t>
      </w:r>
      <w:r>
        <w:rPr>
          <w:rFonts w:ascii="Times New Roman" w:hAnsi="Times New Roman" w:cs="Times New Roman"/>
          <w:sz w:val="20"/>
          <w:szCs w:val="20"/>
        </w:rPr>
        <w:t>, 37(1), 71-81.</w:t>
      </w:r>
    </w:p>
    <w:p w14:paraId="6B9463F2">
      <w:pPr>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rPr>
        <w:t xml:space="preserve">Rani, U. R., Vairavaswamy, T. &amp; Kathiresan, D. (2004). A retrospective study on bone fractures in canines. </w:t>
      </w:r>
      <w:r>
        <w:rPr>
          <w:rFonts w:ascii="Times New Roman" w:hAnsi="Times New Roman" w:cs="Times New Roman"/>
          <w:i/>
          <w:sz w:val="20"/>
          <w:szCs w:val="20"/>
        </w:rPr>
        <w:t>Indian Veterinary Journal</w:t>
      </w:r>
      <w:r>
        <w:rPr>
          <w:rFonts w:ascii="Times New Roman" w:hAnsi="Times New Roman" w:cs="Times New Roman"/>
          <w:sz w:val="20"/>
          <w:szCs w:val="20"/>
        </w:rPr>
        <w:t>, 81, 1048-1050.</w:t>
      </w:r>
    </w:p>
    <w:p w14:paraId="1F2D6B19">
      <w:pPr>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shd w:val="clear" w:color="auto" w:fill="FFFFFF"/>
        </w:rPr>
        <w:t>Rao, J. R., Kumar, V. G., Rao, T. M., Kumar, D. P., Reddy, K. C. S. &amp; Raghavender, K. B. P. (2016). Use of hybrid external fixation technique in the repair of long bone fractures in dogs. </w:t>
      </w:r>
      <w:r>
        <w:rPr>
          <w:rFonts w:ascii="Times New Roman" w:hAnsi="Times New Roman" w:cs="Times New Roman"/>
          <w:i/>
          <w:sz w:val="20"/>
          <w:szCs w:val="20"/>
        </w:rPr>
        <w:t>International Journal of Current Microbiology and Applied Sciences</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5</w:t>
      </w:r>
      <w:r>
        <w:rPr>
          <w:rFonts w:ascii="Times New Roman" w:hAnsi="Times New Roman" w:cs="Times New Roman"/>
          <w:sz w:val="20"/>
          <w:szCs w:val="20"/>
          <w:shd w:val="clear" w:color="auto" w:fill="FFFFFF"/>
        </w:rPr>
        <w:t>(11), 579-586.</w:t>
      </w:r>
    </w:p>
    <w:p w14:paraId="6B1749B6">
      <w:pPr>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shd w:val="clear" w:color="auto" w:fill="FFFFFF"/>
        </w:rPr>
        <w:t>Rao, J. R., Kumar, V. G., Rao, T. M., Kumar, D. P., Reddy, K. C. &amp; Raghavender, K. B. P. (2017). Use of tie-in configuration technique in the repair of femoral and humeral diaphyseal fractures in dogs. </w:t>
      </w:r>
      <w:r>
        <w:rPr>
          <w:rFonts w:ascii="Times New Roman" w:hAnsi="Times New Roman" w:cs="Times New Roman"/>
          <w:i/>
          <w:iCs/>
          <w:sz w:val="20"/>
          <w:szCs w:val="20"/>
          <w:shd w:val="clear" w:color="auto" w:fill="FFFFFF"/>
        </w:rPr>
        <w:t>International Journal of Advance Research</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5</w:t>
      </w:r>
      <w:r>
        <w:rPr>
          <w:rFonts w:ascii="Times New Roman" w:hAnsi="Times New Roman" w:cs="Times New Roman"/>
          <w:sz w:val="20"/>
          <w:szCs w:val="20"/>
          <w:shd w:val="clear" w:color="auto" w:fill="FFFFFF"/>
        </w:rPr>
        <w:t>(7), 436-442.</w:t>
      </w:r>
    </w:p>
    <w:p w14:paraId="6FF287B1">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Rosselló, G. C., Carmel, J., Pead, M., Lacosta, V. V. &amp; Lafuente, P. (2022).Comparison of post-operative outcomes after open or closed surgical techniques to stabilize metacarpal and metatarsal fractures in dogs and cats. </w:t>
      </w:r>
      <w:r>
        <w:rPr>
          <w:rFonts w:ascii="Times New Roman" w:hAnsi="Times New Roman" w:cs="Times New Roman"/>
          <w:i/>
          <w:iCs/>
          <w:sz w:val="20"/>
          <w:szCs w:val="20"/>
          <w:shd w:val="clear" w:color="auto" w:fill="FFFFFF"/>
        </w:rPr>
        <w:t>BMC Veterinary Research</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18</w:t>
      </w:r>
      <w:r>
        <w:rPr>
          <w:rFonts w:ascii="Times New Roman" w:hAnsi="Times New Roman" w:cs="Times New Roman"/>
          <w:sz w:val="20"/>
          <w:szCs w:val="20"/>
          <w:shd w:val="clear" w:color="auto" w:fill="FFFFFF"/>
        </w:rPr>
        <w:t>(1), 300.</w:t>
      </w:r>
    </w:p>
    <w:p w14:paraId="69A45885">
      <w:pPr>
        <w:spacing w:after="0" w:line="240" w:lineRule="auto"/>
        <w:ind w:left="540" w:hanging="360"/>
        <w:jc w:val="both"/>
        <w:rPr>
          <w:rFonts w:ascii="Times New Roman" w:hAnsi="Times New Roman" w:cs="Times New Roman"/>
          <w:sz w:val="20"/>
          <w:szCs w:val="20"/>
        </w:rPr>
      </w:pPr>
      <w:r>
        <w:rPr>
          <w:rFonts w:ascii="Times New Roman" w:hAnsi="Times New Roman" w:cs="Times New Roman"/>
          <w:color w:val="222222"/>
          <w:sz w:val="20"/>
          <w:szCs w:val="20"/>
          <w:shd w:val="clear" w:color="auto" w:fill="FFFFFF"/>
        </w:rPr>
        <w:t>Rovesti, G. L., Schwarz, G. &amp; Bogoni, P. (2009). Treatment of 30 angular limb deformities of the antebrachium and the crus in the dog using circular external fixators. </w:t>
      </w:r>
      <w:r>
        <w:rPr>
          <w:rFonts w:ascii="Times New Roman" w:hAnsi="Times New Roman" w:cs="Times New Roman"/>
          <w:i/>
          <w:iCs/>
          <w:color w:val="222222"/>
          <w:sz w:val="20"/>
          <w:szCs w:val="20"/>
          <w:shd w:val="clear" w:color="auto" w:fill="FFFFFF"/>
        </w:rPr>
        <w:t>The Open Veterinary Science Journal</w:t>
      </w:r>
      <w:r>
        <w:rPr>
          <w:rFonts w:ascii="Times New Roman" w:hAnsi="Times New Roman" w:cs="Times New Roman"/>
          <w:color w:val="222222"/>
          <w:sz w:val="20"/>
          <w:szCs w:val="20"/>
          <w:shd w:val="clear" w:color="auto" w:fill="FFFFFF"/>
        </w:rPr>
        <w:t>, </w:t>
      </w:r>
      <w:r>
        <w:rPr>
          <w:rFonts w:ascii="Times New Roman" w:hAnsi="Times New Roman" w:cs="Times New Roman"/>
          <w:i/>
          <w:iCs/>
          <w:color w:val="222222"/>
          <w:sz w:val="20"/>
          <w:szCs w:val="20"/>
          <w:shd w:val="clear" w:color="auto" w:fill="FFFFFF"/>
        </w:rPr>
        <w:t>3</w:t>
      </w:r>
      <w:r>
        <w:rPr>
          <w:rFonts w:ascii="Times New Roman" w:hAnsi="Times New Roman" w:cs="Times New Roman"/>
          <w:color w:val="222222"/>
          <w:sz w:val="20"/>
          <w:szCs w:val="20"/>
          <w:shd w:val="clear" w:color="auto" w:fill="FFFFFF"/>
        </w:rPr>
        <w:t>(1), 41-54.</w:t>
      </w:r>
    </w:p>
    <w:p w14:paraId="1769BBC7">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Sadan, M. A., Amort, K. &amp; Kramer, M. (2015). Imaging of acetabular fractures in 14 dogs: a comparison of plain radiography and CT scan. </w:t>
      </w:r>
      <w:r>
        <w:rPr>
          <w:rFonts w:ascii="Times New Roman" w:hAnsi="Times New Roman" w:cs="Times New Roman"/>
          <w:i/>
          <w:iCs/>
          <w:sz w:val="20"/>
          <w:szCs w:val="20"/>
          <w:shd w:val="clear" w:color="auto" w:fill="FFFFFF"/>
        </w:rPr>
        <w:t>Indian Journal of Veterinary Surgery</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36</w:t>
      </w:r>
      <w:r>
        <w:rPr>
          <w:rFonts w:ascii="Times New Roman" w:hAnsi="Times New Roman" w:cs="Times New Roman"/>
          <w:sz w:val="20"/>
          <w:szCs w:val="20"/>
          <w:shd w:val="clear" w:color="auto" w:fill="FFFFFF"/>
        </w:rPr>
        <w:t>(1), 37-40.</w:t>
      </w:r>
    </w:p>
    <w:p w14:paraId="1CAA6A41">
      <w:pPr>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shd w:val="clear" w:color="auto" w:fill="FFFFFF"/>
        </w:rPr>
        <w:t>Sande, R. (1999). </w:t>
      </w:r>
      <w:r>
        <w:rPr>
          <w:rFonts w:ascii="Times New Roman" w:hAnsi="Times New Roman" w:cs="Times New Roman"/>
          <w:iCs/>
          <w:sz w:val="20"/>
          <w:szCs w:val="20"/>
          <w:shd w:val="clear" w:color="auto" w:fill="FFFFFF"/>
        </w:rPr>
        <w:t xml:space="preserve">Radiography of orthopedic trauma and fracture repair. </w:t>
      </w:r>
      <w:r>
        <w:rPr>
          <w:rFonts w:ascii="Times New Roman" w:hAnsi="Times New Roman" w:cs="Times New Roman"/>
          <w:i/>
          <w:iCs/>
          <w:sz w:val="20"/>
          <w:szCs w:val="20"/>
          <w:shd w:val="clear" w:color="auto" w:fill="FFFFFF"/>
        </w:rPr>
        <w:t>Veterinary Clinics of North America: Small Animal Practice</w:t>
      </w:r>
      <w:r>
        <w:rPr>
          <w:rFonts w:ascii="Times New Roman" w:hAnsi="Times New Roman" w:cs="Times New Roman"/>
          <w:iCs/>
          <w:sz w:val="20"/>
          <w:szCs w:val="20"/>
          <w:shd w:val="clear" w:color="auto" w:fill="FFFFFF"/>
        </w:rPr>
        <w:t>, 29(5), 1247–1260.</w:t>
      </w:r>
      <w:r>
        <w:rPr>
          <w:rFonts w:ascii="Times New Roman" w:hAnsi="Times New Roman" w:cs="Times New Roman"/>
          <w:sz w:val="20"/>
          <w:szCs w:val="20"/>
          <w:shd w:val="clear" w:color="auto" w:fill="FFFFFF"/>
        </w:rPr>
        <w:t> doi:10.1016/s0195-5616(99)50112-5.</w:t>
      </w:r>
    </w:p>
    <w:p w14:paraId="7E83763A">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rPr>
        <w:t xml:space="preserve">Sran, T.K., Singh, S.S., Mohindroo, J. &amp; Saini, N.S. (2016). Frequency of long bone fractures in dogs: A retrospective study. </w:t>
      </w:r>
      <w:r>
        <w:rPr>
          <w:rFonts w:ascii="Times New Roman" w:hAnsi="Times New Roman" w:cs="Times New Roman"/>
          <w:i/>
          <w:sz w:val="20"/>
          <w:szCs w:val="20"/>
        </w:rPr>
        <w:t>Indian Journal of Veterinary Surgery</w:t>
      </w:r>
      <w:r>
        <w:rPr>
          <w:rFonts w:ascii="Times New Roman" w:hAnsi="Times New Roman" w:cs="Times New Roman"/>
          <w:sz w:val="20"/>
          <w:szCs w:val="20"/>
        </w:rPr>
        <w:t>, 37(1), 1-5.</w:t>
      </w:r>
    </w:p>
    <w:p w14:paraId="63390632">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Sriharsha, G. V., Kumaresan, A., Kokila, S., Arulmozhi, A., Kathirvel, S. &amp; Dharmaceelan, S. (2024). A retrospective study on the incidence of long bone fractures in dogs. </w:t>
      </w:r>
      <w:r>
        <w:rPr>
          <w:rFonts w:ascii="Times New Roman" w:hAnsi="Times New Roman" w:cs="Times New Roman"/>
          <w:i/>
          <w:iCs/>
          <w:sz w:val="20"/>
          <w:szCs w:val="20"/>
          <w:shd w:val="clear" w:color="auto" w:fill="FFFFFF"/>
        </w:rPr>
        <w:t>International Journal of Veterinary Science and Animal Husbandary</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9</w:t>
      </w:r>
      <w:r>
        <w:rPr>
          <w:rFonts w:ascii="Times New Roman" w:hAnsi="Times New Roman" w:cs="Times New Roman"/>
          <w:sz w:val="20"/>
          <w:szCs w:val="20"/>
          <w:shd w:val="clear" w:color="auto" w:fill="FFFFFF"/>
        </w:rPr>
        <w:t>(5), 800-803.</w:t>
      </w:r>
    </w:p>
    <w:p w14:paraId="4162D67C">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rPr>
        <w:t>Swaroop, G. L., Dilipkumar, D., Bhagavantappa, B., Venkatgiri, M. P. &amp; Bijurkar, R. J.</w:t>
      </w:r>
      <w:r>
        <w:rPr>
          <w:rFonts w:ascii="Times New Roman" w:hAnsi="Times New Roman" w:cs="Times New Roman"/>
          <w:sz w:val="20"/>
          <w:szCs w:val="20"/>
          <w:shd w:val="clear" w:color="auto" w:fill="FFFFFF"/>
        </w:rPr>
        <w:t xml:space="preserve"> (2023). Incidence of long bone fractures in dogs: a retrospective study. </w:t>
      </w:r>
      <w:r>
        <w:rPr>
          <w:rFonts w:ascii="Times New Roman" w:hAnsi="Times New Roman" w:cs="Times New Roman"/>
          <w:i/>
          <w:iCs/>
          <w:sz w:val="20"/>
          <w:szCs w:val="20"/>
          <w:shd w:val="clear" w:color="auto" w:fill="FFFFFF"/>
        </w:rPr>
        <w:t>Pharma Innovation Journal</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12</w:t>
      </w:r>
      <w:r>
        <w:rPr>
          <w:rFonts w:ascii="Times New Roman" w:hAnsi="Times New Roman" w:cs="Times New Roman"/>
          <w:sz w:val="20"/>
          <w:szCs w:val="20"/>
          <w:shd w:val="clear" w:color="auto" w:fill="FFFFFF"/>
        </w:rPr>
        <w:t>(10), 743-745.</w:t>
      </w:r>
    </w:p>
    <w:p w14:paraId="28B39310">
      <w:pPr>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rPr>
        <w:t xml:space="preserve">Tercanliogu, H. &amp; Sarierler, M. (2009).Femur fractures and treatment options in dogs which brought our clinics. </w:t>
      </w:r>
      <w:r>
        <w:rPr>
          <w:rFonts w:ascii="Times New Roman" w:hAnsi="Times New Roman" w:cs="Times New Roman"/>
          <w:i/>
          <w:sz w:val="20"/>
          <w:szCs w:val="20"/>
        </w:rPr>
        <w:t>Lucrari Stiiniiifice Medicina Veterinaria</w:t>
      </w:r>
      <w:r>
        <w:rPr>
          <w:rFonts w:ascii="Times New Roman" w:hAnsi="Times New Roman" w:cs="Times New Roman"/>
          <w:sz w:val="20"/>
          <w:szCs w:val="20"/>
        </w:rPr>
        <w:t>, 42(2), 98-101.</w:t>
      </w:r>
    </w:p>
    <w:p w14:paraId="295641F4">
      <w:pPr>
        <w:tabs>
          <w:tab w:val="left" w:pos="4530"/>
          <w:tab w:val="left" w:pos="10440"/>
        </w:tabs>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rPr>
        <w:t xml:space="preserve">Tiihonen, R., Alaranta, R., Helkamaa, T., Nurmi-Lüthje, I., Kaukonen, J. P. &amp; Lüthje, P. (2019). A 10-Year retrospective study of 490 hip fracture patients: Reoperations, direct medical costs, and survival. </w:t>
      </w:r>
      <w:r>
        <w:rPr>
          <w:rFonts w:ascii="Times New Roman" w:hAnsi="Times New Roman" w:cs="Times New Roman"/>
          <w:i/>
          <w:sz w:val="20"/>
          <w:szCs w:val="20"/>
        </w:rPr>
        <w:t>Scandvian Journal of Surgery</w:t>
      </w:r>
      <w:r>
        <w:rPr>
          <w:rFonts w:ascii="Times New Roman" w:hAnsi="Times New Roman" w:cs="Times New Roman"/>
          <w:sz w:val="20"/>
          <w:szCs w:val="20"/>
        </w:rPr>
        <w:t>, 108, 178–184.</w:t>
      </w:r>
    </w:p>
    <w:p w14:paraId="4BF9819E">
      <w:pPr>
        <w:tabs>
          <w:tab w:val="left" w:pos="4530"/>
          <w:tab w:val="left" w:pos="10440"/>
        </w:tabs>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rPr>
        <w:t xml:space="preserve">Tobias, K. M. &amp; Johnston, S. A. (2012). </w:t>
      </w:r>
      <w:r>
        <w:rPr>
          <w:rFonts w:ascii="Times New Roman" w:hAnsi="Times New Roman" w:cs="Times New Roman"/>
          <w:i/>
          <w:iCs/>
          <w:sz w:val="20"/>
          <w:szCs w:val="20"/>
        </w:rPr>
        <w:t>Veterinary Surgery</w:t>
      </w:r>
      <w:r>
        <w:rPr>
          <w:rFonts w:ascii="Times New Roman" w:hAnsi="Times New Roman" w:cs="Times New Roman"/>
          <w:sz w:val="20"/>
          <w:szCs w:val="20"/>
        </w:rPr>
        <w:t xml:space="preserve">: </w:t>
      </w:r>
      <w:r>
        <w:rPr>
          <w:rFonts w:ascii="Times New Roman" w:hAnsi="Times New Roman" w:cs="Times New Roman"/>
          <w:i/>
          <w:sz w:val="20"/>
          <w:szCs w:val="20"/>
        </w:rPr>
        <w:t xml:space="preserve">Small Animal </w:t>
      </w:r>
      <w:r>
        <w:rPr>
          <w:rFonts w:ascii="Times New Roman" w:hAnsi="Times New Roman" w:cs="Times New Roman"/>
          <w:sz w:val="20"/>
          <w:szCs w:val="20"/>
        </w:rPr>
        <w:t>(pp. 568-1182). Elsevier: St. Louis, Mo.</w:t>
      </w:r>
    </w:p>
    <w:p w14:paraId="30E3F75E">
      <w:pPr>
        <w:tabs>
          <w:tab w:val="left" w:pos="4530"/>
          <w:tab w:val="left" w:pos="10440"/>
        </w:tabs>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shd w:val="clear" w:color="auto" w:fill="FFFFFF"/>
        </w:rPr>
        <w:t>Unger, M., Montavon, P. M. &amp; Heim, U. F. A. (1990). </w:t>
      </w:r>
      <w:r>
        <w:rPr>
          <w:rFonts w:ascii="Times New Roman" w:hAnsi="Times New Roman" w:cs="Times New Roman"/>
          <w:iCs/>
          <w:sz w:val="20"/>
          <w:szCs w:val="20"/>
          <w:shd w:val="clear" w:color="auto" w:fill="FFFFFF"/>
        </w:rPr>
        <w:t>Classification of fractures of long bones in the dog and cat: introduction and clinical application.</w:t>
      </w:r>
      <w:r>
        <w:rPr>
          <w:rFonts w:ascii="Times New Roman" w:hAnsi="Times New Roman" w:cs="Times New Roman"/>
          <w:i/>
          <w:iCs/>
          <w:sz w:val="20"/>
          <w:szCs w:val="20"/>
          <w:shd w:val="clear" w:color="auto" w:fill="FFFFFF"/>
        </w:rPr>
        <w:t xml:space="preserve"> Veterinary and Comparative Orthopaedics and Traumatology, </w:t>
      </w:r>
      <w:r>
        <w:rPr>
          <w:rFonts w:ascii="Times New Roman" w:hAnsi="Times New Roman" w:cs="Times New Roman"/>
          <w:iCs/>
          <w:sz w:val="20"/>
          <w:szCs w:val="20"/>
          <w:shd w:val="clear" w:color="auto" w:fill="FFFFFF"/>
        </w:rPr>
        <w:t>3(02), 41–50</w:t>
      </w:r>
      <w:r>
        <w:rPr>
          <w:rFonts w:ascii="Times New Roman" w:hAnsi="Times New Roman" w:cs="Times New Roman"/>
          <w:i/>
          <w:iCs/>
          <w:sz w:val="20"/>
          <w:szCs w:val="20"/>
          <w:shd w:val="clear" w:color="auto" w:fill="FFFFFF"/>
        </w:rPr>
        <w:t>.</w:t>
      </w:r>
      <w:r>
        <w:rPr>
          <w:rFonts w:ascii="Times New Roman" w:hAnsi="Times New Roman" w:cs="Times New Roman"/>
          <w:sz w:val="20"/>
          <w:szCs w:val="20"/>
          <w:shd w:val="clear" w:color="auto" w:fill="FFFFFF"/>
        </w:rPr>
        <w:t> doi:10.1055/s-0038-1633228.</w:t>
      </w:r>
    </w:p>
    <w:p w14:paraId="42C1DD2F">
      <w:pPr>
        <w:spacing w:after="0" w:line="240" w:lineRule="auto"/>
        <w:ind w:left="540" w:hanging="360"/>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Van der Zee, J. (2014). In vitro biomechanical comparison of the effects of cerclage wires, an intramedullary pin and the combination there of on an oblique osteotomy of the canine tibia. </w:t>
      </w:r>
      <w:r>
        <w:rPr>
          <w:rFonts w:ascii="Times New Roman" w:hAnsi="Times New Roman" w:cs="Times New Roman"/>
          <w:i/>
          <w:iCs/>
          <w:sz w:val="20"/>
          <w:szCs w:val="20"/>
          <w:shd w:val="clear" w:color="auto" w:fill="FFFFFF"/>
        </w:rPr>
        <w:t>Veterinary and Comparative Orthopaedics and Traumatology</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27</w:t>
      </w:r>
      <w:r>
        <w:rPr>
          <w:rFonts w:ascii="Times New Roman" w:hAnsi="Times New Roman" w:cs="Times New Roman"/>
          <w:sz w:val="20"/>
          <w:szCs w:val="20"/>
          <w:shd w:val="clear" w:color="auto" w:fill="FFFFFF"/>
        </w:rPr>
        <w:t>(2), 91-96.</w:t>
      </w:r>
    </w:p>
    <w:p w14:paraId="644B37FE">
      <w:pPr>
        <w:tabs>
          <w:tab w:val="left" w:pos="4530"/>
          <w:tab w:val="left" w:pos="10440"/>
        </w:tabs>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shd w:val="clear" w:color="auto" w:fill="FFFFFF"/>
        </w:rPr>
        <w:t>Weniger, M. B. H., Feichtenschlager, C., Linde, N. &amp; Peppler, C. (2024). Long‐term outcome of a canine longitudinal patellar fracture treated with lag screw and pin. </w:t>
      </w:r>
      <w:r>
        <w:rPr>
          <w:rFonts w:ascii="Times New Roman" w:hAnsi="Times New Roman" w:cs="Times New Roman"/>
          <w:i/>
          <w:iCs/>
          <w:sz w:val="20"/>
          <w:szCs w:val="20"/>
          <w:shd w:val="clear" w:color="auto" w:fill="FFFFFF"/>
        </w:rPr>
        <w:t>Veterinary Record Case Reports</w:t>
      </w:r>
      <w:r>
        <w:rPr>
          <w:rFonts w:ascii="Times New Roman" w:hAnsi="Times New Roman" w:cs="Times New Roman"/>
          <w:sz w:val="20"/>
          <w:szCs w:val="20"/>
          <w:shd w:val="clear" w:color="auto" w:fill="FFFFFF"/>
        </w:rPr>
        <w:t>, e1028.</w:t>
      </w:r>
    </w:p>
    <w:p w14:paraId="4BFAAB88">
      <w:pPr>
        <w:spacing w:after="0" w:line="240" w:lineRule="auto"/>
        <w:ind w:left="540" w:hanging="360"/>
        <w:jc w:val="both"/>
        <w:rPr>
          <w:rFonts w:ascii="Times New Roman" w:hAnsi="Times New Roman" w:cs="Times New Roman"/>
          <w:sz w:val="20"/>
          <w:szCs w:val="20"/>
        </w:rPr>
      </w:pPr>
      <w:r>
        <w:rPr>
          <w:rFonts w:ascii="Times New Roman" w:hAnsi="Times New Roman" w:eastAsia="Times New Roman" w:cs="Times New Roman"/>
          <w:sz w:val="20"/>
          <w:szCs w:val="20"/>
          <w:lang w:eastAsia="en-GB"/>
        </w:rPr>
        <w:t>Yardımcı, C., Önyay, T., İnal, K., Ozbakir, B. &amp; Özak, A. (2018). Management of humeral fractures in dogs by using semicircular external fixator and intramedullary pin tie-in combination. </w:t>
      </w:r>
      <w:r>
        <w:rPr>
          <w:rFonts w:ascii="Times New Roman" w:hAnsi="Times New Roman" w:eastAsia="Times New Roman" w:cs="Times New Roman"/>
          <w:i/>
          <w:iCs/>
          <w:sz w:val="20"/>
          <w:szCs w:val="20"/>
          <w:lang w:eastAsia="en-GB"/>
        </w:rPr>
        <w:t>Kafkas Universitesi Veteriner Fakultesi Dergisi</w:t>
      </w:r>
      <w:r>
        <w:rPr>
          <w:rFonts w:ascii="Times New Roman" w:hAnsi="Times New Roman" w:eastAsia="Times New Roman" w:cs="Times New Roman"/>
          <w:sz w:val="20"/>
          <w:szCs w:val="20"/>
          <w:lang w:eastAsia="en-GB"/>
        </w:rPr>
        <w:t>, </w:t>
      </w:r>
      <w:r>
        <w:rPr>
          <w:rFonts w:ascii="Times New Roman" w:hAnsi="Times New Roman" w:eastAsia="Times New Roman" w:cs="Times New Roman"/>
          <w:iCs/>
          <w:sz w:val="20"/>
          <w:szCs w:val="20"/>
          <w:lang w:eastAsia="en-GB"/>
        </w:rPr>
        <w:t>24</w:t>
      </w:r>
      <w:r>
        <w:rPr>
          <w:rFonts w:ascii="Times New Roman" w:hAnsi="Times New Roman" w:eastAsia="Times New Roman" w:cs="Times New Roman"/>
          <w:sz w:val="20"/>
          <w:szCs w:val="20"/>
          <w:lang w:eastAsia="en-GB"/>
        </w:rPr>
        <w:t xml:space="preserve">(2), </w:t>
      </w:r>
      <w:r>
        <w:rPr>
          <w:rFonts w:ascii="Times New Roman" w:hAnsi="Times New Roman" w:cs="Times New Roman"/>
          <w:sz w:val="20"/>
          <w:szCs w:val="20"/>
        </w:rPr>
        <w:t>295-300. DOI: 10.9775/kvfd.2017.18870.</w:t>
      </w:r>
    </w:p>
    <w:p w14:paraId="50BA27B0">
      <w:pPr>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shd w:val="clear" w:color="auto" w:fill="FFFFFF"/>
        </w:rPr>
        <w:t>Yardimci, C., Ozak, A. &amp; Nisbet, H. O. (2011).Management of femoral fractures in dogs with unilateral semicircular external skeletal fixators. </w:t>
      </w:r>
      <w:r>
        <w:rPr>
          <w:rFonts w:ascii="Times New Roman" w:hAnsi="Times New Roman" w:cs="Times New Roman"/>
          <w:i/>
          <w:iCs/>
          <w:sz w:val="20"/>
          <w:szCs w:val="20"/>
          <w:shd w:val="clear" w:color="auto" w:fill="FFFFFF"/>
        </w:rPr>
        <w:t>Veterinary Surgery</w:t>
      </w:r>
      <w:r>
        <w:rPr>
          <w:rFonts w:ascii="Times New Roman" w:hAnsi="Times New Roman" w:cs="Times New Roman"/>
          <w:sz w:val="20"/>
          <w:szCs w:val="20"/>
          <w:shd w:val="clear" w:color="auto" w:fill="FFFFFF"/>
        </w:rPr>
        <w:t>, </w:t>
      </w:r>
      <w:r>
        <w:rPr>
          <w:rFonts w:ascii="Times New Roman" w:hAnsi="Times New Roman" w:cs="Times New Roman"/>
          <w:iCs/>
          <w:sz w:val="20"/>
          <w:szCs w:val="20"/>
          <w:shd w:val="clear" w:color="auto" w:fill="FFFFFF"/>
        </w:rPr>
        <w:t>40</w:t>
      </w:r>
      <w:r>
        <w:rPr>
          <w:rFonts w:ascii="Times New Roman" w:hAnsi="Times New Roman" w:cs="Times New Roman"/>
          <w:sz w:val="20"/>
          <w:szCs w:val="20"/>
          <w:shd w:val="clear" w:color="auto" w:fill="FFFFFF"/>
        </w:rPr>
        <w:t>(3), 379-387.</w:t>
      </w:r>
    </w:p>
    <w:p w14:paraId="665B6500">
      <w:pPr>
        <w:tabs>
          <w:tab w:val="left" w:pos="4530"/>
          <w:tab w:val="left" w:pos="10440"/>
        </w:tabs>
        <w:spacing w:after="0" w:line="240" w:lineRule="auto"/>
        <w:ind w:left="540" w:hanging="360"/>
        <w:jc w:val="both"/>
        <w:rPr>
          <w:rFonts w:ascii="Times New Roman" w:hAnsi="Times New Roman" w:cs="Times New Roman"/>
          <w:sz w:val="20"/>
          <w:szCs w:val="20"/>
        </w:rPr>
      </w:pPr>
      <w:r>
        <w:rPr>
          <w:rFonts w:ascii="Times New Roman" w:hAnsi="Times New Roman" w:cs="Times New Roman"/>
          <w:sz w:val="20"/>
          <w:szCs w:val="20"/>
        </w:rPr>
        <w:t xml:space="preserve">Zachary, J. F. &amp; McGavin, M. D. (2012). </w:t>
      </w:r>
      <w:r>
        <w:rPr>
          <w:rFonts w:ascii="Times New Roman" w:hAnsi="Times New Roman" w:cs="Times New Roman"/>
          <w:i/>
          <w:sz w:val="20"/>
          <w:szCs w:val="20"/>
        </w:rPr>
        <w:t>Pathologic Basis of Veterinary Disease</w:t>
      </w:r>
      <w:r>
        <w:rPr>
          <w:rFonts w:ascii="Times New Roman" w:hAnsi="Times New Roman" w:cs="Times New Roman"/>
          <w:sz w:val="20"/>
          <w:szCs w:val="20"/>
        </w:rPr>
        <w:t>, (5</w:t>
      </w:r>
      <w:r>
        <w:rPr>
          <w:rFonts w:ascii="Times New Roman" w:hAnsi="Times New Roman" w:cs="Times New Roman"/>
          <w:sz w:val="20"/>
          <w:szCs w:val="20"/>
          <w:vertAlign w:val="superscript"/>
        </w:rPr>
        <w:t>th</w:t>
      </w:r>
      <w:r>
        <w:rPr>
          <w:rFonts w:ascii="Times New Roman" w:hAnsi="Times New Roman" w:cs="Times New Roman"/>
          <w:sz w:val="20"/>
          <w:szCs w:val="20"/>
        </w:rPr>
        <w:t xml:space="preserve"> edn.). Elsevier, St. Louis, Mo.</w:t>
      </w:r>
    </w:p>
    <w:p w14:paraId="6FEA7282">
      <w:pPr>
        <w:spacing w:after="0" w:line="240" w:lineRule="auto"/>
        <w:ind w:left="540" w:hanging="360"/>
        <w:jc w:val="both"/>
        <w:rPr>
          <w:rFonts w:ascii="Times New Roman" w:hAnsi="Times New Roman" w:eastAsia="Calibri" w:cs="Times New Roman"/>
          <w:bCs/>
          <w:iCs/>
          <w:color w:val="000000" w:themeColor="text1"/>
          <w:sz w:val="20"/>
          <w:szCs w:val="20"/>
          <w:lang w:val="en-US"/>
        </w:rPr>
      </w:pPr>
    </w:p>
    <w:sectPr>
      <w:headerReference r:id="rId11" w:type="first"/>
      <w:headerReference r:id="rId9" w:type="default"/>
      <w:footerReference r:id="rId12" w:type="default"/>
      <w:headerReference r:id="rId10" w:type="even"/>
      <w:type w:val="continuous"/>
      <w:pgSz w:w="11907" w:h="16839"/>
      <w:pgMar w:top="1382" w:right="893" w:bottom="1382" w:left="893" w:header="720" w:footer="720" w:gutter="0"/>
      <w:cols w:space="288" w:num="2"/>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7715336"/>
      <w:docPartObj>
        <w:docPartGallery w:val="autotext"/>
      </w:docPartObj>
    </w:sdtPr>
    <w:sdtContent>
      <w:p w14:paraId="69F28D61">
        <w:pPr>
          <w:pStyle w:val="7"/>
          <w:pBdr>
            <w:top w:val="single" w:color="auto" w:sz="4" w:space="1"/>
          </w:pBdr>
          <w:jc w:val="right"/>
        </w:pPr>
        <w:r>
          <w:fldChar w:fldCharType="begin"/>
        </w:r>
        <w:r>
          <w:instrText xml:space="preserve"> PAGE   \* MERGEFORMAT </w:instrText>
        </w:r>
        <w:r>
          <w:fldChar w:fldCharType="separate"/>
        </w:r>
        <w:r>
          <w:t>260</w:t>
        </w:r>
        <w:r>
          <w:fldChar w:fldCharType="end"/>
        </w:r>
      </w:p>
    </w:sdtContent>
  </w:sdt>
  <w:p w14:paraId="6FD093A5">
    <w:pPr>
      <w:rPr>
        <w:rFonts w:ascii="Times New Roman" w:hAnsi="Times New Roman"/>
        <w:b/>
      </w:rPr>
    </w:pPr>
    <w:r>
      <w:rPr>
        <w:rFonts w:ascii="Times New Roman" w:hAnsi="Times New Roman"/>
        <w:b/>
      </w:rPr>
      <w:t>http://doi.org/10.54328/covm.josvas.2026.375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8D162">
    <w:pPr>
      <w:pStyle w:val="7"/>
      <w:pBdr>
        <w:top w:val="single" w:color="auto" w:sz="4" w:space="1"/>
      </w:pBdr>
      <w:jc w:val="right"/>
    </w:pPr>
    <w:r>
      <w:fldChar w:fldCharType="begin"/>
    </w:r>
    <w:r>
      <w:instrText xml:space="preserve"> PAGE   \* MERGEFORMAT </w:instrText>
    </w:r>
    <w:r>
      <w:fldChar w:fldCharType="separate"/>
    </w:r>
    <w:r>
      <w:t>268</w:t>
    </w:r>
    <w:r>
      <w:fldChar w:fldCharType="end"/>
    </w:r>
  </w:p>
  <w:p w14:paraId="27B82EE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D6A70">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FE7E1">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0CF10">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96058">
    <w:pPr>
      <w:pStyle w:val="8"/>
      <w:pBdr>
        <w:bottom w:val="single" w:color="auto" w:sz="4" w:space="1"/>
      </w:pBdr>
      <w:jc w:val="both"/>
      <w:rPr>
        <w:rFonts w:ascii="Times New Roman" w:hAnsi="Times New Roman"/>
        <w:b/>
        <w:sz w:val="20"/>
        <w:szCs w:val="20"/>
      </w:rPr>
    </w:pPr>
    <w:r>
      <w:rPr>
        <w:rFonts w:ascii="Times New Roman" w:hAnsi="Times New Roman" w:eastAsia="Times New Roman"/>
        <w:b/>
        <w:bCs/>
        <w:sz w:val="20"/>
        <w:szCs w:val="20"/>
      </w:rPr>
      <w:t xml:space="preserve">Bappah </w:t>
    </w:r>
    <w:r>
      <w:rPr>
        <w:rFonts w:ascii="Times New Roman" w:hAnsi="Times New Roman" w:eastAsia="Times New Roman"/>
        <w:b/>
        <w:bCs/>
        <w:i/>
        <w:sz w:val="20"/>
        <w:szCs w:val="20"/>
        <w:lang w:val="en-GB"/>
      </w:rPr>
      <w:t>et al.</w:t>
    </w:r>
    <w:r>
      <w:rPr>
        <w:rFonts w:ascii="Times New Roman" w:hAnsi="Times New Roman"/>
        <w:b/>
        <w:sz w:val="20"/>
        <w:szCs w:val="20"/>
      </w:rPr>
      <w:t xml:space="preserve">  2026   </w:t>
    </w:r>
    <w:r>
      <w:rPr>
        <w:rFonts w:ascii="Times New Roman" w:hAnsi="Times New Roman"/>
        <w:b/>
        <w:sz w:val="20"/>
        <w:szCs w:val="20"/>
      </w:rPr>
      <w:tab/>
    </w:r>
    <w:r>
      <w:rPr>
        <w:rFonts w:ascii="Times New Roman" w:hAnsi="Times New Roman"/>
        <w:b/>
        <w:sz w:val="20"/>
        <w:szCs w:val="20"/>
      </w:rPr>
      <w:t xml:space="preserve">                                                    Journal of Sustainable Veterinary &amp; Allied Sciences Vol. 8 Issue 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FF5BA">
    <w:pPr>
      <w:pStyle w:val="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DC054">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2"/>
  </w:compat>
  <w:rsids>
    <w:rsidRoot w:val="00F0476A"/>
    <w:rsid w:val="000144D1"/>
    <w:rsid w:val="00075101"/>
    <w:rsid w:val="000A726C"/>
    <w:rsid w:val="00133D40"/>
    <w:rsid w:val="001E3242"/>
    <w:rsid w:val="0020144A"/>
    <w:rsid w:val="0025311C"/>
    <w:rsid w:val="002C4B50"/>
    <w:rsid w:val="002C5D74"/>
    <w:rsid w:val="00330959"/>
    <w:rsid w:val="003B41A1"/>
    <w:rsid w:val="003D35EA"/>
    <w:rsid w:val="00420760"/>
    <w:rsid w:val="00501981"/>
    <w:rsid w:val="00526B77"/>
    <w:rsid w:val="00567311"/>
    <w:rsid w:val="0059329A"/>
    <w:rsid w:val="005D4B78"/>
    <w:rsid w:val="0062320D"/>
    <w:rsid w:val="00637465"/>
    <w:rsid w:val="00664C8B"/>
    <w:rsid w:val="006731F0"/>
    <w:rsid w:val="00755DF8"/>
    <w:rsid w:val="00771A5B"/>
    <w:rsid w:val="00786199"/>
    <w:rsid w:val="007861B5"/>
    <w:rsid w:val="00814601"/>
    <w:rsid w:val="008162A3"/>
    <w:rsid w:val="009264C7"/>
    <w:rsid w:val="00997BBE"/>
    <w:rsid w:val="009C5362"/>
    <w:rsid w:val="009E3778"/>
    <w:rsid w:val="009E4906"/>
    <w:rsid w:val="00A16529"/>
    <w:rsid w:val="00A85774"/>
    <w:rsid w:val="00AD2E42"/>
    <w:rsid w:val="00AD5D3A"/>
    <w:rsid w:val="00AE058C"/>
    <w:rsid w:val="00AF1873"/>
    <w:rsid w:val="00B023C6"/>
    <w:rsid w:val="00B02E58"/>
    <w:rsid w:val="00B754BC"/>
    <w:rsid w:val="00B8796F"/>
    <w:rsid w:val="00B97F4B"/>
    <w:rsid w:val="00BB615A"/>
    <w:rsid w:val="00BD5825"/>
    <w:rsid w:val="00C023CC"/>
    <w:rsid w:val="00C56183"/>
    <w:rsid w:val="00CB1544"/>
    <w:rsid w:val="00CC4188"/>
    <w:rsid w:val="00D22ECD"/>
    <w:rsid w:val="00D83EB4"/>
    <w:rsid w:val="00DA00A4"/>
    <w:rsid w:val="00DD04E4"/>
    <w:rsid w:val="00DF08B8"/>
    <w:rsid w:val="00E00D68"/>
    <w:rsid w:val="00E15DA4"/>
    <w:rsid w:val="00E6582D"/>
    <w:rsid w:val="00EE05D0"/>
    <w:rsid w:val="00EF743D"/>
    <w:rsid w:val="00F0476A"/>
    <w:rsid w:val="00F5777D"/>
    <w:rsid w:val="00F81E0D"/>
    <w:rsid w:val="00FA6257"/>
    <w:rsid w:val="00FC469C"/>
    <w:rsid w:val="00FD0595"/>
    <w:rsid w:val="146A7D75"/>
    <w:rsid w:val="70D7520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semiHidden/>
    <w:unhideWhenUsed/>
    <w:qFormat/>
    <w:uiPriority w:val="99"/>
    <w:pPr>
      <w:spacing w:after="0" w:line="240" w:lineRule="auto"/>
    </w:pPr>
    <w:rPr>
      <w:rFonts w:ascii="Tahoma" w:hAnsi="Tahoma" w:cs="Tahoma"/>
      <w:sz w:val="16"/>
      <w:szCs w:val="16"/>
    </w:rPr>
  </w:style>
  <w:style w:type="paragraph" w:styleId="5">
    <w:name w:val="annotation text"/>
    <w:basedOn w:val="1"/>
    <w:link w:val="17"/>
    <w:semiHidden/>
    <w:unhideWhenUsed/>
    <w:qFormat/>
    <w:uiPriority w:val="99"/>
    <w:pPr>
      <w:spacing w:after="160" w:line="240" w:lineRule="auto"/>
    </w:pPr>
    <w:rPr>
      <w:sz w:val="20"/>
      <w:szCs w:val="20"/>
    </w:rPr>
  </w:style>
  <w:style w:type="paragraph" w:styleId="6">
    <w:name w:val="annotation subject"/>
    <w:basedOn w:val="5"/>
    <w:next w:val="5"/>
    <w:link w:val="18"/>
    <w:semiHidden/>
    <w:unhideWhenUsed/>
    <w:qFormat/>
    <w:uiPriority w:val="99"/>
    <w:rPr>
      <w:b/>
      <w:bCs/>
    </w:rPr>
  </w:style>
  <w:style w:type="paragraph" w:styleId="7">
    <w:name w:val="footer"/>
    <w:basedOn w:val="1"/>
    <w:link w:val="14"/>
    <w:unhideWhenUsed/>
    <w:qFormat/>
    <w:uiPriority w:val="99"/>
    <w:pPr>
      <w:tabs>
        <w:tab w:val="center" w:pos="4680"/>
        <w:tab w:val="right" w:pos="9360"/>
      </w:tabs>
      <w:spacing w:after="0" w:line="240" w:lineRule="auto"/>
    </w:pPr>
    <w:rPr>
      <w:rFonts w:ascii="Calibri" w:hAnsi="Calibri" w:eastAsia="Calibri" w:cs="Times New Roman"/>
      <w:lang w:val="en-US"/>
    </w:rPr>
  </w:style>
  <w:style w:type="paragraph" w:styleId="8">
    <w:name w:val="header"/>
    <w:basedOn w:val="1"/>
    <w:link w:val="13"/>
    <w:unhideWhenUsed/>
    <w:qFormat/>
    <w:uiPriority w:val="99"/>
    <w:pPr>
      <w:tabs>
        <w:tab w:val="center" w:pos="4680"/>
        <w:tab w:val="right" w:pos="9360"/>
      </w:tabs>
      <w:spacing w:after="0" w:line="240" w:lineRule="auto"/>
    </w:pPr>
    <w:rPr>
      <w:rFonts w:ascii="Calibri" w:hAnsi="Calibri" w:eastAsia="Calibri" w:cs="Times New Roman"/>
      <w:lang w:val="en-US"/>
    </w:rPr>
  </w:style>
  <w:style w:type="character" w:styleId="9">
    <w:name w:val="Hyperlink"/>
    <w:basedOn w:val="2"/>
    <w:unhideWhenUsed/>
    <w:qFormat/>
    <w:uiPriority w:val="99"/>
    <w:rPr>
      <w:color w:val="0000FF" w:themeColor="hyperlink"/>
      <w:u w:val="single"/>
    </w:rPr>
  </w:style>
  <w:style w:type="paragraph" w:styleId="10">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11">
    <w:name w:val="Strong"/>
    <w:basedOn w:val="2"/>
    <w:qFormat/>
    <w:uiPriority w:val="22"/>
    <w:rPr>
      <w:b/>
      <w:bCs/>
    </w:rPr>
  </w:style>
  <w:style w:type="paragraph" w:styleId="12">
    <w:name w:val="Title"/>
    <w:basedOn w:val="1"/>
    <w:next w:val="1"/>
    <w:link w:val="19"/>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customStyle="1" w:styleId="13">
    <w:name w:val="Header Char"/>
    <w:basedOn w:val="2"/>
    <w:link w:val="8"/>
    <w:qFormat/>
    <w:uiPriority w:val="99"/>
    <w:rPr>
      <w:rFonts w:ascii="Calibri" w:hAnsi="Calibri" w:eastAsia="Calibri" w:cs="Times New Roman"/>
      <w:lang w:val="en-US"/>
    </w:rPr>
  </w:style>
  <w:style w:type="character" w:customStyle="1" w:styleId="14">
    <w:name w:val="Footer Char"/>
    <w:basedOn w:val="2"/>
    <w:link w:val="7"/>
    <w:qFormat/>
    <w:uiPriority w:val="99"/>
    <w:rPr>
      <w:rFonts w:ascii="Calibri" w:hAnsi="Calibri" w:eastAsia="Calibri" w:cs="Times New Roman"/>
      <w:lang w:val="en-US"/>
    </w:rPr>
  </w:style>
  <w:style w:type="character" w:customStyle="1" w:styleId="15">
    <w:name w:val="Balloon Text Char"/>
    <w:basedOn w:val="2"/>
    <w:link w:val="4"/>
    <w:semiHidden/>
    <w:qFormat/>
    <w:uiPriority w:val="99"/>
    <w:rPr>
      <w:rFonts w:ascii="Tahoma" w:hAnsi="Tahoma" w:cs="Tahoma"/>
      <w:sz w:val="16"/>
      <w:szCs w:val="16"/>
    </w:rPr>
  </w:style>
  <w:style w:type="paragraph" w:customStyle="1" w:styleId="16">
    <w:name w:val="Default"/>
    <w:qForma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17">
    <w:name w:val="Comment Text Char"/>
    <w:basedOn w:val="2"/>
    <w:link w:val="5"/>
    <w:semiHidden/>
    <w:qFormat/>
    <w:uiPriority w:val="99"/>
    <w:rPr>
      <w:sz w:val="20"/>
      <w:szCs w:val="20"/>
    </w:rPr>
  </w:style>
  <w:style w:type="character" w:customStyle="1" w:styleId="18">
    <w:name w:val="Comment Subject Char"/>
    <w:basedOn w:val="17"/>
    <w:link w:val="6"/>
    <w:semiHidden/>
    <w:qFormat/>
    <w:uiPriority w:val="99"/>
    <w:rPr>
      <w:b/>
      <w:bCs/>
      <w:sz w:val="20"/>
      <w:szCs w:val="20"/>
    </w:rPr>
  </w:style>
  <w:style w:type="character" w:customStyle="1" w:styleId="19">
    <w:name w:val="Title Char"/>
    <w:basedOn w:val="2"/>
    <w:link w:val="12"/>
    <w:qFormat/>
    <w:uiPriority w:val="10"/>
    <w:rPr>
      <w:rFonts w:asciiTheme="majorHAnsi" w:hAnsiTheme="majorHAnsi" w:eastAsiaTheme="majorEastAsia" w:cstheme="majorBidi"/>
      <w:color w:val="17365D" w:themeColor="text2" w:themeShade="BF"/>
      <w:spacing w:val="5"/>
      <w:kern w:val="28"/>
      <w:sz w:val="52"/>
      <w:szCs w:val="52"/>
    </w:rPr>
  </w:style>
  <w:style w:type="paragraph" w:styleId="20">
    <w:name w:val="No Spacing"/>
    <w:qFormat/>
    <w:uiPriority w:val="1"/>
    <w:rPr>
      <w:rFonts w:asciiTheme="minorHAnsi" w:hAnsiTheme="minorHAnsi" w:eastAsiaTheme="minorHAnsi" w:cstheme="minorBidi"/>
      <w:sz w:val="22"/>
      <w:szCs w:val="22"/>
      <w:lang w:val="en-GB"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6"/>
    <customShpInfo spid="_x0000_s1029"/>
    <customShpInfo spid="_x0000_s1028"/>
    <customShpInfo spid="_x0000_s1038"/>
    <customShpInfo spid="_x0000_s103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4600</Words>
  <Characters>26550</Characters>
  <Lines>224</Lines>
  <Paragraphs>63</Paragraphs>
  <TotalTime>1381</TotalTime>
  <ScaleCrop>false</ScaleCrop>
  <LinksUpToDate>false</LinksUpToDate>
  <CharactersWithSpaces>31006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2025-12-22T16:26:00Z</dcterms:created>
  <dc:creator>Lenovo</dc:creator>
  <cp:lastModifiedBy>User</cp:lastModifiedBy>
  <cp:lastPrinted>2024-07-17T10:10:00Z</cp:lastPrinted>
  <dcterms:modified xsi:type="dcterms:W3CDTF">2026-09-27T19:27:17Z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eyJoZGlkIjoiMjg3MTU3NWE5YTM0NTc1MTM3ODFhNTgwODY2NjFjNTQifQ==</vt:lpwstr>
  </property>
  <property fmtid="{D5CDD505-2E9C-101B-9397-08002B2CF9AE}" pid="3" name="KSOProductBuildVer">
    <vt:lpwstr>1033-12.1.0.28485</vt:lpwstr>
  </property>
  <property fmtid="{D5CDD505-2E9C-101B-9397-08002B2CF9AE}" pid="4" name="ICV">
    <vt:lpwstr>F0EFBD3657864297A4213EE4D429D126_12</vt:lpwstr>
  </property>
</Properties>
</file>