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F46" w:rsidRDefault="00160914">
      <w:pPr>
        <w:spacing w:before="120" w:after="0" w:line="240" w:lineRule="auto"/>
        <w:rPr>
          <w:rFonts w:ascii="Times New Roman" w:eastAsia="Calibri" w:hAnsi="Times New Roman" w:cs="Times New Roman"/>
          <w:b/>
          <w:bCs/>
          <w:lang w:val="en-US"/>
        </w:rPr>
      </w:pPr>
      <w:r>
        <w:rPr>
          <w:rFonts w:ascii="Times New Roman" w:eastAsia="Calibri" w:hAnsi="Times New Roman" w:cs="Times New Roman"/>
          <w:b/>
          <w:bCs/>
          <w:noProof/>
          <w:lang w:val="en-US"/>
        </w:rPr>
        <w:drawing>
          <wp:inline distT="0" distB="0" distL="0" distR="0">
            <wp:extent cx="6462395" cy="1076960"/>
            <wp:effectExtent l="19050" t="19050" r="1460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462395" cy="1077066"/>
                    </a:xfrm>
                    <a:prstGeom prst="rect">
                      <a:avLst/>
                    </a:prstGeom>
                    <a:noFill/>
                    <a:ln w="19050">
                      <a:solidFill>
                        <a:srgbClr val="00B050"/>
                      </a:solidFill>
                    </a:ln>
                  </pic:spPr>
                </pic:pic>
              </a:graphicData>
            </a:graphic>
          </wp:inline>
        </w:drawing>
      </w:r>
      <w:r>
        <w:rPr>
          <w:rFonts w:ascii="Times New Roman" w:eastAsia="Calibri" w:hAnsi="Times New Roman" w:cs="Times New Roman"/>
          <w:b/>
          <w:bCs/>
          <w:lang w:val="en-US"/>
        </w:rPr>
        <w:t xml:space="preserve">JoSVAS 2026   </w:t>
      </w:r>
      <w:r w:rsidR="00315B39">
        <w:rPr>
          <w:rFonts w:ascii="Times New Roman" w:eastAsia="Calibri" w:hAnsi="Times New Roman" w:cs="Times New Roman"/>
          <w:b/>
          <w:bCs/>
          <w:lang w:val="en-US"/>
        </w:rPr>
        <w:t>September</w:t>
      </w:r>
      <w:r>
        <w:rPr>
          <w:rFonts w:ascii="Times New Roman" w:eastAsia="Calibri" w:hAnsi="Times New Roman" w:cs="Times New Roman"/>
          <w:b/>
          <w:bCs/>
          <w:lang w:val="en-US"/>
        </w:rPr>
        <w:t xml:space="preserve"> Vol</w:t>
      </w:r>
      <w:r w:rsidR="00315B39">
        <w:rPr>
          <w:rFonts w:ascii="Times New Roman" w:eastAsia="Calibri" w:hAnsi="Times New Roman" w:cs="Times New Roman"/>
          <w:b/>
          <w:bCs/>
          <w:lang w:val="en-US"/>
        </w:rPr>
        <w:t>. 8 Issue 3</w:t>
      </w:r>
      <w:r>
        <w:rPr>
          <w:rFonts w:ascii="Times New Roman" w:eastAsia="Calibri" w:hAnsi="Times New Roman" w:cs="Times New Roman"/>
          <w:b/>
          <w:bCs/>
          <w:lang w:val="en-US"/>
        </w:rPr>
        <w:t>:</w:t>
      </w:r>
      <w:r w:rsidR="00DC1379">
        <w:rPr>
          <w:rFonts w:ascii="Times New Roman" w:eastAsia="Calibri" w:hAnsi="Times New Roman" w:cs="Times New Roman"/>
          <w:b/>
          <w:bCs/>
          <w:lang w:val="en-US"/>
        </w:rPr>
        <w:t xml:space="preserve"> 288-29</w:t>
      </w:r>
      <w:r w:rsidR="00D75736">
        <w:rPr>
          <w:rFonts w:ascii="Times New Roman" w:eastAsia="Calibri" w:hAnsi="Times New Roman" w:cs="Times New Roman"/>
          <w:b/>
          <w:bCs/>
          <w:lang w:val="en-US"/>
        </w:rPr>
        <w:t>3</w:t>
      </w:r>
    </w:p>
    <w:p w:rsidR="00C96F46" w:rsidRDefault="00160914">
      <w:pPr>
        <w:spacing w:after="0" w:line="240" w:lineRule="auto"/>
        <w:rPr>
          <w:rFonts w:ascii="Times New Roman" w:eastAsia="Calibri" w:hAnsi="Times New Roman" w:cs="Times New Roman"/>
          <w:b/>
          <w:bCs/>
          <w:lang w:val="en-US"/>
        </w:rPr>
      </w:pPr>
      <w:r>
        <w:rPr>
          <w:rFonts w:ascii="Times New Roman" w:eastAsia="Calibri" w:hAnsi="Times New Roman" w:cs="Times New Roman"/>
          <w:b/>
          <w:bCs/>
          <w:lang w:val="en-US"/>
        </w:rPr>
        <w:t>©2026 College of Veterinary Medicine,                                                                       Original Research Article</w:t>
      </w:r>
    </w:p>
    <w:p w:rsidR="00C96F46" w:rsidRDefault="00160914">
      <w:pPr>
        <w:spacing w:after="0" w:line="240" w:lineRule="auto"/>
        <w:ind w:left="-630" w:firstLine="630"/>
        <w:rPr>
          <w:rFonts w:ascii="Times New Roman" w:eastAsia="Calibri" w:hAnsi="Times New Roman" w:cs="Times New Roman"/>
          <w:b/>
          <w:bCs/>
          <w:sz w:val="20"/>
          <w:szCs w:val="20"/>
          <w:lang w:val="en-US"/>
        </w:rPr>
      </w:pPr>
      <w:r>
        <w:rPr>
          <w:rFonts w:ascii="Times New Roman" w:eastAsia="Calibri" w:hAnsi="Times New Roman" w:cs="Times New Roman"/>
          <w:b/>
          <w:bCs/>
          <w:sz w:val="20"/>
          <w:szCs w:val="20"/>
          <w:lang w:val="en-US"/>
        </w:rPr>
        <w:t>Michael Okpara University of Agriculture, Umudike, Nigeria</w:t>
      </w:r>
    </w:p>
    <w:p w:rsidR="00C96F46" w:rsidRDefault="00C96F46">
      <w:pPr>
        <w:pStyle w:val="Default"/>
      </w:pPr>
    </w:p>
    <w:p w:rsidR="00AB5FC8" w:rsidRDefault="00AB5FC8" w:rsidP="00AB5FC8">
      <w:pPr>
        <w:spacing w:after="0" w:line="360" w:lineRule="auto"/>
        <w:jc w:val="center"/>
        <w:rPr>
          <w:rFonts w:asciiTheme="majorBidi" w:hAnsiTheme="majorBidi" w:cstheme="majorBidi"/>
          <w:b/>
          <w:bCs/>
          <w:sz w:val="28"/>
          <w:szCs w:val="28"/>
        </w:rPr>
      </w:pPr>
      <w:r w:rsidRPr="005D2B3A">
        <w:rPr>
          <w:rFonts w:asciiTheme="majorBidi" w:hAnsiTheme="majorBidi" w:cstheme="majorBidi"/>
          <w:b/>
          <w:bCs/>
          <w:sz w:val="28"/>
          <w:szCs w:val="28"/>
        </w:rPr>
        <w:t>SHORT-TERM HAEMATOBIOCHEMICAL RESPONSE TO DICLOFENAC ADMINISTRATION FOLLOWING DEHORNING IN WEST AFRICAN DWARF GOATS</w:t>
      </w:r>
    </w:p>
    <w:p w:rsidR="00AB5FC8" w:rsidRDefault="00160914" w:rsidP="00AB5FC8">
      <w:pPr>
        <w:spacing w:after="0" w:line="360" w:lineRule="auto"/>
        <w:jc w:val="center"/>
        <w:rPr>
          <w:rFonts w:ascii="Times New Roman" w:hAnsi="Times New Roman" w:cs="Times New Roman"/>
          <w:b/>
          <w:sz w:val="24"/>
          <w:szCs w:val="24"/>
        </w:rPr>
      </w:pPr>
      <w:r>
        <w:rPr>
          <w:b/>
          <w:bCs/>
        </w:rPr>
        <w:t>*</w:t>
      </w:r>
      <w:r w:rsidR="00E95475" w:rsidRPr="00E95475">
        <w:rPr>
          <w:b/>
          <w:bCs/>
          <w:vertAlign w:val="superscript"/>
        </w:rPr>
        <w:t>a</w:t>
      </w:r>
      <w:r w:rsidR="00AB5FC8" w:rsidRPr="00AB5FC8">
        <w:rPr>
          <w:rFonts w:ascii="Times New Roman" w:hAnsi="Times New Roman" w:cs="Times New Roman"/>
          <w:b/>
          <w:sz w:val="24"/>
          <w:szCs w:val="24"/>
        </w:rPr>
        <w:t xml:space="preserve">ABDULKADIR, </w:t>
      </w:r>
      <w:r w:rsidR="00CB1B3D" w:rsidRPr="00AB5FC8">
        <w:rPr>
          <w:rFonts w:ascii="Times New Roman" w:hAnsi="Times New Roman" w:cs="Times New Roman"/>
          <w:b/>
          <w:sz w:val="24"/>
          <w:szCs w:val="24"/>
        </w:rPr>
        <w:t>S.</w:t>
      </w:r>
      <w:r w:rsidR="00E95475">
        <w:rPr>
          <w:rFonts w:ascii="Times New Roman" w:hAnsi="Times New Roman" w:cs="Times New Roman"/>
          <w:b/>
          <w:sz w:val="24"/>
          <w:szCs w:val="24"/>
        </w:rPr>
        <w:t xml:space="preserve"> </w:t>
      </w:r>
      <w:r w:rsidR="00CB1B3D" w:rsidRPr="00AB5FC8">
        <w:rPr>
          <w:rFonts w:ascii="Times New Roman" w:hAnsi="Times New Roman" w:cs="Times New Roman"/>
          <w:b/>
          <w:sz w:val="24"/>
          <w:szCs w:val="24"/>
        </w:rPr>
        <w:t>Z</w:t>
      </w:r>
      <w:r w:rsidR="00CB1B3D">
        <w:rPr>
          <w:rFonts w:ascii="Times New Roman" w:hAnsi="Times New Roman" w:cs="Times New Roman"/>
          <w:b/>
          <w:sz w:val="24"/>
          <w:szCs w:val="24"/>
        </w:rPr>
        <w:t>.</w:t>
      </w:r>
      <w:r w:rsidR="00AB5FC8" w:rsidRPr="00AB5FC8">
        <w:rPr>
          <w:rFonts w:ascii="Times New Roman" w:hAnsi="Times New Roman" w:cs="Times New Roman"/>
          <w:b/>
          <w:sz w:val="24"/>
          <w:szCs w:val="24"/>
        </w:rPr>
        <w:t xml:space="preserve">, </w:t>
      </w:r>
      <w:r w:rsidR="00E95475" w:rsidRPr="00E95475">
        <w:rPr>
          <w:rFonts w:ascii="Times New Roman" w:hAnsi="Times New Roman" w:cs="Times New Roman"/>
          <w:b/>
          <w:sz w:val="24"/>
          <w:szCs w:val="24"/>
          <w:vertAlign w:val="superscript"/>
        </w:rPr>
        <w:t>b</w:t>
      </w:r>
      <w:r w:rsidR="00AB5FC8" w:rsidRPr="00AB5FC8">
        <w:rPr>
          <w:rFonts w:ascii="Times New Roman" w:hAnsi="Times New Roman" w:cs="Times New Roman"/>
          <w:b/>
          <w:sz w:val="24"/>
          <w:szCs w:val="24"/>
        </w:rPr>
        <w:t xml:space="preserve">ABBAS, H. A., </w:t>
      </w:r>
      <w:r w:rsidR="00E95475" w:rsidRPr="00E95475">
        <w:rPr>
          <w:rFonts w:ascii="Times New Roman" w:hAnsi="Times New Roman" w:cs="Times New Roman"/>
          <w:b/>
          <w:sz w:val="24"/>
          <w:szCs w:val="24"/>
          <w:vertAlign w:val="superscript"/>
        </w:rPr>
        <w:t>c</w:t>
      </w:r>
      <w:r w:rsidR="00AB5FC8" w:rsidRPr="00AB5FC8">
        <w:rPr>
          <w:rFonts w:ascii="Times New Roman" w:hAnsi="Times New Roman" w:cs="Times New Roman"/>
          <w:b/>
          <w:sz w:val="24"/>
          <w:szCs w:val="24"/>
        </w:rPr>
        <w:t xml:space="preserve">ALIYU, A., </w:t>
      </w:r>
      <w:r w:rsidR="00E95475">
        <w:rPr>
          <w:rFonts w:ascii="Times New Roman" w:hAnsi="Times New Roman" w:cs="Times New Roman"/>
          <w:b/>
          <w:i/>
          <w:sz w:val="24"/>
          <w:szCs w:val="24"/>
          <w:vertAlign w:val="superscript"/>
        </w:rPr>
        <w:t>d</w:t>
      </w:r>
      <w:r w:rsidR="00AB5FC8" w:rsidRPr="00AB5FC8">
        <w:rPr>
          <w:rFonts w:ascii="Times New Roman" w:hAnsi="Times New Roman" w:cs="Times New Roman"/>
          <w:b/>
          <w:sz w:val="24"/>
          <w:szCs w:val="24"/>
        </w:rPr>
        <w:t>ADEDIRAN, S.</w:t>
      </w:r>
      <w:r w:rsidR="00E95475">
        <w:rPr>
          <w:rFonts w:ascii="Times New Roman" w:hAnsi="Times New Roman" w:cs="Times New Roman"/>
          <w:b/>
          <w:sz w:val="24"/>
          <w:szCs w:val="24"/>
        </w:rPr>
        <w:t xml:space="preserve"> </w:t>
      </w:r>
      <w:r w:rsidR="00AB5FC8" w:rsidRPr="00AB5FC8">
        <w:rPr>
          <w:rFonts w:ascii="Times New Roman" w:hAnsi="Times New Roman" w:cs="Times New Roman"/>
          <w:b/>
          <w:sz w:val="24"/>
          <w:szCs w:val="24"/>
        </w:rPr>
        <w:t xml:space="preserve">O., </w:t>
      </w:r>
      <w:r w:rsidR="00E95475">
        <w:rPr>
          <w:rFonts w:ascii="Times New Roman" w:hAnsi="Times New Roman" w:cs="Times New Roman"/>
          <w:b/>
          <w:i/>
          <w:sz w:val="24"/>
          <w:szCs w:val="24"/>
          <w:vertAlign w:val="superscript"/>
        </w:rPr>
        <w:t>e</w:t>
      </w:r>
      <w:r w:rsidR="00AB5FC8" w:rsidRPr="00AB5FC8">
        <w:rPr>
          <w:rFonts w:ascii="Times New Roman" w:hAnsi="Times New Roman" w:cs="Times New Roman"/>
          <w:b/>
          <w:sz w:val="24"/>
          <w:szCs w:val="24"/>
        </w:rPr>
        <w:t>LAWAL, F.</w:t>
      </w:r>
      <w:r w:rsidR="00E95475">
        <w:rPr>
          <w:rFonts w:ascii="Times New Roman" w:hAnsi="Times New Roman" w:cs="Times New Roman"/>
          <w:b/>
          <w:sz w:val="24"/>
          <w:szCs w:val="24"/>
        </w:rPr>
        <w:t xml:space="preserve"> </w:t>
      </w:r>
      <w:r w:rsidR="00AB5FC8" w:rsidRPr="00AB5FC8">
        <w:rPr>
          <w:rFonts w:ascii="Times New Roman" w:hAnsi="Times New Roman" w:cs="Times New Roman"/>
          <w:b/>
          <w:sz w:val="24"/>
          <w:szCs w:val="24"/>
        </w:rPr>
        <w:t xml:space="preserve">M., </w:t>
      </w:r>
      <w:r w:rsidR="00E95475">
        <w:rPr>
          <w:rFonts w:ascii="Times New Roman" w:hAnsi="Times New Roman" w:cs="Times New Roman"/>
          <w:b/>
          <w:i/>
          <w:sz w:val="24"/>
          <w:szCs w:val="24"/>
          <w:u w:val="single"/>
          <w:vertAlign w:val="superscript"/>
        </w:rPr>
        <w:t>f</w:t>
      </w:r>
      <w:r w:rsidR="00AB5FC8" w:rsidRPr="00AB5FC8">
        <w:rPr>
          <w:rFonts w:ascii="Times New Roman" w:hAnsi="Times New Roman" w:cs="Times New Roman"/>
          <w:b/>
          <w:sz w:val="24"/>
          <w:szCs w:val="24"/>
        </w:rPr>
        <w:t>AMBALI, R.</w:t>
      </w:r>
      <w:r w:rsidR="00E95475">
        <w:rPr>
          <w:rFonts w:ascii="Times New Roman" w:hAnsi="Times New Roman" w:cs="Times New Roman"/>
          <w:b/>
          <w:sz w:val="24"/>
          <w:szCs w:val="24"/>
        </w:rPr>
        <w:t xml:space="preserve"> </w:t>
      </w:r>
      <w:r w:rsidR="00AB5FC8" w:rsidRPr="00AB5FC8">
        <w:rPr>
          <w:rFonts w:ascii="Times New Roman" w:hAnsi="Times New Roman" w:cs="Times New Roman"/>
          <w:b/>
          <w:sz w:val="24"/>
          <w:szCs w:val="24"/>
        </w:rPr>
        <w:t xml:space="preserve">T., </w:t>
      </w:r>
      <w:r w:rsidR="00E95475" w:rsidRPr="00E95475">
        <w:rPr>
          <w:rFonts w:ascii="Times New Roman" w:hAnsi="Times New Roman" w:cs="Times New Roman"/>
          <w:b/>
          <w:i/>
          <w:sz w:val="24"/>
          <w:szCs w:val="24"/>
          <w:vertAlign w:val="superscript"/>
        </w:rPr>
        <w:t>g</w:t>
      </w:r>
      <w:r w:rsidR="00AB5FC8" w:rsidRPr="00AB5FC8">
        <w:rPr>
          <w:rFonts w:ascii="Times New Roman" w:hAnsi="Times New Roman" w:cs="Times New Roman"/>
          <w:b/>
          <w:sz w:val="24"/>
          <w:szCs w:val="24"/>
        </w:rPr>
        <w:t>POPOOLA, K.</w:t>
      </w:r>
      <w:r w:rsidR="00E95475">
        <w:rPr>
          <w:rFonts w:ascii="Times New Roman" w:hAnsi="Times New Roman" w:cs="Times New Roman"/>
          <w:b/>
          <w:sz w:val="24"/>
          <w:szCs w:val="24"/>
        </w:rPr>
        <w:t xml:space="preserve"> </w:t>
      </w:r>
      <w:r w:rsidR="00AB5FC8" w:rsidRPr="00AB5FC8">
        <w:rPr>
          <w:rFonts w:ascii="Times New Roman" w:hAnsi="Times New Roman" w:cs="Times New Roman"/>
          <w:b/>
          <w:sz w:val="24"/>
          <w:szCs w:val="24"/>
        </w:rPr>
        <w:t xml:space="preserve">O., </w:t>
      </w:r>
      <w:r w:rsidR="00E95475">
        <w:rPr>
          <w:rFonts w:ascii="Times New Roman" w:hAnsi="Times New Roman" w:cs="Times New Roman"/>
          <w:b/>
          <w:i/>
          <w:sz w:val="24"/>
          <w:szCs w:val="24"/>
          <w:vertAlign w:val="superscript"/>
        </w:rPr>
        <w:t>h</w:t>
      </w:r>
      <w:r w:rsidR="00AB5FC8" w:rsidRPr="00AB5FC8">
        <w:rPr>
          <w:rFonts w:ascii="Times New Roman" w:hAnsi="Times New Roman" w:cs="Times New Roman"/>
          <w:b/>
          <w:sz w:val="24"/>
          <w:szCs w:val="24"/>
        </w:rPr>
        <w:t>OGUNGBADE, H.</w:t>
      </w:r>
      <w:r w:rsidR="00E95475">
        <w:rPr>
          <w:rFonts w:ascii="Times New Roman" w:hAnsi="Times New Roman" w:cs="Times New Roman"/>
          <w:b/>
          <w:sz w:val="24"/>
          <w:szCs w:val="24"/>
        </w:rPr>
        <w:t xml:space="preserve"> </w:t>
      </w:r>
      <w:r w:rsidR="00AB5FC8" w:rsidRPr="00AB5FC8">
        <w:rPr>
          <w:rFonts w:ascii="Times New Roman" w:hAnsi="Times New Roman" w:cs="Times New Roman"/>
          <w:b/>
          <w:sz w:val="24"/>
          <w:szCs w:val="24"/>
        </w:rPr>
        <w:t xml:space="preserve">O. &amp; </w:t>
      </w:r>
      <w:r w:rsidR="00E95475">
        <w:rPr>
          <w:rFonts w:ascii="Times New Roman" w:hAnsi="Times New Roman" w:cs="Times New Roman"/>
          <w:b/>
          <w:i/>
          <w:sz w:val="24"/>
          <w:szCs w:val="24"/>
          <w:vertAlign w:val="superscript"/>
        </w:rPr>
        <w:t>i</w:t>
      </w:r>
      <w:r w:rsidR="00AB5FC8" w:rsidRPr="00AB5FC8">
        <w:rPr>
          <w:rFonts w:ascii="Times New Roman" w:hAnsi="Times New Roman" w:cs="Times New Roman"/>
          <w:b/>
          <w:sz w:val="24"/>
          <w:szCs w:val="24"/>
        </w:rPr>
        <w:t>HANAFI, Q.</w:t>
      </w:r>
      <w:r w:rsidR="00E95475">
        <w:rPr>
          <w:rFonts w:ascii="Times New Roman" w:hAnsi="Times New Roman" w:cs="Times New Roman"/>
          <w:b/>
          <w:sz w:val="24"/>
          <w:szCs w:val="24"/>
        </w:rPr>
        <w:t xml:space="preserve"> </w:t>
      </w:r>
      <w:r w:rsidR="00AB5FC8" w:rsidRPr="00AB5FC8">
        <w:rPr>
          <w:rFonts w:ascii="Times New Roman" w:hAnsi="Times New Roman" w:cs="Times New Roman"/>
          <w:b/>
          <w:sz w:val="24"/>
          <w:szCs w:val="24"/>
        </w:rPr>
        <w:t>O</w:t>
      </w:r>
      <w:r w:rsidR="00E95475">
        <w:rPr>
          <w:rFonts w:ascii="Times New Roman" w:hAnsi="Times New Roman" w:cs="Times New Roman"/>
          <w:b/>
          <w:sz w:val="24"/>
          <w:szCs w:val="24"/>
        </w:rPr>
        <w:t>.</w:t>
      </w:r>
    </w:p>
    <w:p w:rsidR="00E95475" w:rsidRDefault="00AB5FC8" w:rsidP="00E95475">
      <w:pPr>
        <w:spacing w:after="0"/>
        <w:jc w:val="center"/>
        <w:rPr>
          <w:rFonts w:ascii="Times New Roman" w:hAnsi="Times New Roman" w:cs="Times New Roman"/>
          <w:i/>
          <w:sz w:val="20"/>
          <w:szCs w:val="20"/>
        </w:rPr>
      </w:pPr>
      <w:r w:rsidRPr="00AB5FC8">
        <w:rPr>
          <w:rFonts w:ascii="Times New Roman" w:hAnsi="Times New Roman" w:cs="Times New Roman"/>
          <w:i/>
          <w:sz w:val="20"/>
          <w:szCs w:val="20"/>
          <w:vertAlign w:val="superscript"/>
        </w:rPr>
        <w:t>1</w:t>
      </w:r>
      <w:r w:rsidRPr="00AB5FC8">
        <w:rPr>
          <w:rFonts w:ascii="Times New Roman" w:hAnsi="Times New Roman" w:cs="Times New Roman"/>
          <w:i/>
          <w:sz w:val="20"/>
          <w:szCs w:val="20"/>
        </w:rPr>
        <w:t>Department of Veterinary Surgery and Radiology, University of Ilorin, Nigeria</w:t>
      </w:r>
    </w:p>
    <w:p w:rsidR="00E95475" w:rsidRDefault="00E95475" w:rsidP="00E95475">
      <w:pPr>
        <w:spacing w:after="0"/>
        <w:jc w:val="center"/>
        <w:rPr>
          <w:rFonts w:ascii="Times New Roman" w:hAnsi="Times New Roman" w:cs="Times New Roman"/>
          <w:i/>
          <w:sz w:val="20"/>
          <w:szCs w:val="20"/>
        </w:rPr>
      </w:pPr>
      <w:r>
        <w:rPr>
          <w:rFonts w:ascii="Times New Roman" w:hAnsi="Times New Roman" w:cs="Times New Roman"/>
          <w:i/>
          <w:sz w:val="20"/>
          <w:szCs w:val="20"/>
        </w:rPr>
        <w:t xml:space="preserve">ORCID: </w:t>
      </w:r>
      <w:r w:rsidRPr="00E95475">
        <w:rPr>
          <w:rFonts w:ascii="Times New Roman" w:hAnsi="Times New Roman" w:cs="Times New Roman"/>
          <w:i/>
          <w:sz w:val="20"/>
          <w:szCs w:val="20"/>
          <w:vertAlign w:val="superscript"/>
        </w:rPr>
        <w:t>a</w:t>
      </w:r>
      <w:r>
        <w:rPr>
          <w:rFonts w:ascii="Times New Roman" w:hAnsi="Times New Roman" w:cs="Times New Roman"/>
          <w:i/>
          <w:sz w:val="20"/>
          <w:szCs w:val="20"/>
        </w:rPr>
        <w:t xml:space="preserve">0000-0003-3692-7273; </w:t>
      </w:r>
      <w:r w:rsidRPr="00E95475">
        <w:rPr>
          <w:rFonts w:ascii="Times New Roman" w:hAnsi="Times New Roman" w:cs="Times New Roman"/>
          <w:i/>
          <w:sz w:val="20"/>
          <w:szCs w:val="20"/>
          <w:vertAlign w:val="superscript"/>
        </w:rPr>
        <w:t>b</w:t>
      </w:r>
      <w:r>
        <w:rPr>
          <w:rFonts w:ascii="Times New Roman" w:hAnsi="Times New Roman" w:cs="Times New Roman"/>
          <w:i/>
          <w:sz w:val="20"/>
          <w:szCs w:val="20"/>
        </w:rPr>
        <w:t xml:space="preserve">0009-0008-7116-237X; </w:t>
      </w:r>
      <w:r w:rsidRPr="00E95475">
        <w:rPr>
          <w:rFonts w:ascii="Times New Roman" w:hAnsi="Times New Roman" w:cs="Times New Roman"/>
          <w:i/>
          <w:sz w:val="20"/>
          <w:szCs w:val="20"/>
          <w:vertAlign w:val="superscript"/>
        </w:rPr>
        <w:t>c</w:t>
      </w:r>
      <w:r>
        <w:rPr>
          <w:rFonts w:ascii="Times New Roman" w:hAnsi="Times New Roman" w:cs="Times New Roman"/>
          <w:i/>
          <w:sz w:val="20"/>
          <w:szCs w:val="20"/>
        </w:rPr>
        <w:t xml:space="preserve">0000-0002-9687-7928; </w:t>
      </w:r>
      <w:r w:rsidRPr="00E95475">
        <w:rPr>
          <w:rFonts w:ascii="Times New Roman" w:hAnsi="Times New Roman" w:cs="Times New Roman"/>
          <w:i/>
          <w:sz w:val="20"/>
          <w:szCs w:val="20"/>
          <w:vertAlign w:val="superscript"/>
        </w:rPr>
        <w:t>d</w:t>
      </w:r>
      <w:r>
        <w:rPr>
          <w:rFonts w:ascii="Times New Roman" w:hAnsi="Times New Roman" w:cs="Times New Roman"/>
          <w:i/>
          <w:sz w:val="20"/>
          <w:szCs w:val="20"/>
        </w:rPr>
        <w:t xml:space="preserve">0000-0002-0165-8176; </w:t>
      </w:r>
      <w:r w:rsidRPr="00E95475">
        <w:rPr>
          <w:rFonts w:ascii="Times New Roman" w:hAnsi="Times New Roman" w:cs="Times New Roman"/>
          <w:i/>
          <w:sz w:val="20"/>
          <w:szCs w:val="20"/>
          <w:vertAlign w:val="superscript"/>
        </w:rPr>
        <w:t>e</w:t>
      </w:r>
      <w:r>
        <w:rPr>
          <w:rFonts w:ascii="Times New Roman" w:hAnsi="Times New Roman" w:cs="Times New Roman"/>
          <w:i/>
          <w:sz w:val="20"/>
          <w:szCs w:val="20"/>
        </w:rPr>
        <w:t xml:space="preserve">0000-0001-5702-6971; </w:t>
      </w:r>
      <w:r w:rsidRPr="00E95475">
        <w:rPr>
          <w:rFonts w:ascii="Times New Roman" w:hAnsi="Times New Roman" w:cs="Times New Roman"/>
          <w:i/>
          <w:sz w:val="20"/>
          <w:szCs w:val="20"/>
          <w:vertAlign w:val="superscript"/>
        </w:rPr>
        <w:t>f</w:t>
      </w:r>
      <w:r>
        <w:rPr>
          <w:rFonts w:ascii="Times New Roman" w:hAnsi="Times New Roman" w:cs="Times New Roman"/>
          <w:i/>
          <w:sz w:val="20"/>
          <w:szCs w:val="20"/>
        </w:rPr>
        <w:t xml:space="preserve">0009-0007-2172-1754; </w:t>
      </w:r>
      <w:r w:rsidRPr="00E95475">
        <w:rPr>
          <w:rFonts w:ascii="Times New Roman" w:hAnsi="Times New Roman" w:cs="Times New Roman"/>
          <w:i/>
          <w:sz w:val="20"/>
          <w:szCs w:val="20"/>
          <w:vertAlign w:val="superscript"/>
        </w:rPr>
        <w:t>g</w:t>
      </w:r>
      <w:r>
        <w:rPr>
          <w:rFonts w:ascii="Times New Roman" w:hAnsi="Times New Roman" w:cs="Times New Roman"/>
          <w:i/>
          <w:sz w:val="20"/>
          <w:szCs w:val="20"/>
        </w:rPr>
        <w:t xml:space="preserve">0009-0000-0511-8575; </w:t>
      </w:r>
      <w:r w:rsidRPr="00E95475">
        <w:rPr>
          <w:rFonts w:ascii="Times New Roman" w:hAnsi="Times New Roman" w:cs="Times New Roman"/>
          <w:i/>
          <w:sz w:val="20"/>
          <w:szCs w:val="20"/>
          <w:vertAlign w:val="superscript"/>
        </w:rPr>
        <w:t>h</w:t>
      </w:r>
      <w:r>
        <w:rPr>
          <w:rFonts w:ascii="Times New Roman" w:hAnsi="Times New Roman" w:cs="Times New Roman"/>
          <w:i/>
          <w:sz w:val="20"/>
          <w:szCs w:val="20"/>
        </w:rPr>
        <w:t xml:space="preserve">0009-0008-3044-0089; </w:t>
      </w:r>
      <w:r>
        <w:rPr>
          <w:rFonts w:ascii="Times New Roman" w:hAnsi="Times New Roman" w:cs="Times New Roman"/>
          <w:i/>
          <w:sz w:val="20"/>
          <w:szCs w:val="20"/>
          <w:vertAlign w:val="superscript"/>
        </w:rPr>
        <w:t>i</w:t>
      </w:r>
      <w:r w:rsidRPr="00E95475">
        <w:rPr>
          <w:rFonts w:ascii="Times New Roman" w:hAnsi="Times New Roman" w:cs="Times New Roman"/>
          <w:i/>
          <w:sz w:val="20"/>
          <w:szCs w:val="20"/>
        </w:rPr>
        <w:t>0009-0006-0802-6258</w:t>
      </w:r>
    </w:p>
    <w:p w:rsidR="00E95475" w:rsidRPr="00AB5FC8" w:rsidRDefault="00E95475" w:rsidP="00E95475">
      <w:pPr>
        <w:spacing w:after="0"/>
        <w:jc w:val="center"/>
        <w:rPr>
          <w:rFonts w:ascii="Times New Roman" w:hAnsi="Times New Roman" w:cs="Times New Roman"/>
          <w:i/>
          <w:sz w:val="20"/>
          <w:szCs w:val="20"/>
        </w:rPr>
      </w:pPr>
    </w:p>
    <w:p w:rsidR="00C96F46" w:rsidRDefault="00160914">
      <w:pPr>
        <w:pBdr>
          <w:bottom w:val="single" w:sz="4" w:space="1" w:color="auto"/>
        </w:pBdr>
        <w:spacing w:after="0"/>
        <w:jc w:val="center"/>
        <w:rPr>
          <w:rFonts w:ascii="Times New Roman" w:eastAsia="Times New Roman" w:hAnsi="Times New Roman" w:cs="Times New Roman"/>
          <w:bCs/>
          <w:color w:val="000000" w:themeColor="text1"/>
          <w:sz w:val="20"/>
          <w:szCs w:val="20"/>
          <w:lang w:val="en-US"/>
        </w:rPr>
      </w:pPr>
      <w:r>
        <w:rPr>
          <w:rFonts w:ascii="Times New Roman" w:eastAsia="Times New Roman" w:hAnsi="Times New Roman" w:cs="Times New Roman"/>
          <w:bCs/>
          <w:i/>
          <w:color w:val="000000" w:themeColor="text1"/>
          <w:sz w:val="20"/>
          <w:szCs w:val="20"/>
          <w:lang w:val="en-US"/>
        </w:rPr>
        <w:t>*Correspondence:</w:t>
      </w:r>
      <w:r w:rsidR="00AB5FC8" w:rsidRPr="00AB5FC8">
        <w:t xml:space="preserve"> </w:t>
      </w:r>
      <w:hyperlink r:id="rId8" w:history="1">
        <w:r w:rsidR="00AB5FC8" w:rsidRPr="00BE25C4">
          <w:rPr>
            <w:rStyle w:val="Hyperlink"/>
            <w:rFonts w:asciiTheme="majorBidi" w:hAnsiTheme="majorBidi" w:cstheme="majorBidi"/>
          </w:rPr>
          <w:t>abdulkadir.sz@unilorin.edu.ng</w:t>
        </w:r>
      </w:hyperlink>
      <w:r w:rsidR="00AB5FC8" w:rsidRPr="00BE25C4">
        <w:rPr>
          <w:rFonts w:asciiTheme="majorBidi" w:hAnsiTheme="majorBidi" w:cstheme="majorBidi"/>
        </w:rPr>
        <w:t xml:space="preserve">; </w:t>
      </w:r>
      <w:hyperlink r:id="rId9" w:history="1"/>
      <w:r>
        <w:rPr>
          <w:rFonts w:ascii="Times New Roman" w:eastAsia="Calibri" w:hAnsi="Times New Roman" w:cs="Times New Roman"/>
          <w:sz w:val="20"/>
          <w:szCs w:val="20"/>
          <w:lang w:val="en-US"/>
        </w:rPr>
        <w:t>+2348</w:t>
      </w:r>
      <w:r w:rsidR="00AB5FC8">
        <w:rPr>
          <w:rFonts w:ascii="Times New Roman" w:eastAsia="Calibri" w:hAnsi="Times New Roman" w:cs="Times New Roman"/>
          <w:sz w:val="20"/>
          <w:szCs w:val="20"/>
          <w:lang w:val="en-US"/>
        </w:rPr>
        <w:t>067602494</w:t>
      </w:r>
    </w:p>
    <w:p w:rsidR="00C96F46" w:rsidRDefault="00160914">
      <w:pPr>
        <w:spacing w:before="120" w:after="0" w:line="240" w:lineRule="auto"/>
        <w:rPr>
          <w:rFonts w:ascii="Times New Roman" w:eastAsia="Calibri" w:hAnsi="Times New Roman" w:cs="Times New Roman"/>
          <w:b/>
          <w:color w:val="000000" w:themeColor="text1"/>
          <w:lang w:val="en-US"/>
        </w:rPr>
      </w:pPr>
      <w:r>
        <w:rPr>
          <w:rFonts w:ascii="Times New Roman" w:eastAsia="Calibri" w:hAnsi="Times New Roman" w:cs="Times New Roman"/>
          <w:b/>
          <w:color w:val="000000" w:themeColor="text1"/>
          <w:lang w:val="en-US"/>
        </w:rPr>
        <w:t>ABSTRACT</w:t>
      </w:r>
    </w:p>
    <w:p w:rsidR="000E63A9" w:rsidRPr="000E63A9" w:rsidRDefault="000E63A9" w:rsidP="000E63A9">
      <w:pPr>
        <w:jc w:val="both"/>
        <w:rPr>
          <w:rFonts w:ascii="Times New Roman" w:hAnsi="Times New Roman" w:cs="Times New Roman"/>
          <w:sz w:val="20"/>
          <w:szCs w:val="20"/>
        </w:rPr>
      </w:pPr>
      <w:r w:rsidRPr="000E63A9">
        <w:rPr>
          <w:rFonts w:ascii="Times New Roman" w:hAnsi="Times New Roman" w:cs="Times New Roman"/>
          <w:sz w:val="20"/>
          <w:szCs w:val="20"/>
        </w:rPr>
        <w:t>Dehorning is a routine but painful management practice in goat husbandry, often necessitating effective analgesia to minimize stress and improve animal welfare. Five healthy WAD goats were selected and subjected to dehorning following pre-emptive analgesia using diclofenac 3 mg/kg IM administered at 0 (baseline), and 24, 72, and 120 hours post-dehorning. Blood samples were collected at these intervals for analysis of red and white blood cell counts, hemoglobin, packed cell volume, and stress biomarkers such as cortisol, lactate, and reactive oxygen species (ROS). The results showed non-significant reductions in red blood cell parameters, indicating mild anaemia likely due to surgical trauma. Conversely, white blood cell counts increased post-operatively, reflecting an inflammatory response. Serum cortisol and lactate levels showed statistically significant increases at 72 hours post-dehorning (p &lt; 0.05), suggesting acute physiological stress, while ROS levels significantly decreased, and indicating diclofenac’s transient antioxidant effect. By 120 hours, cortisol and ROS levels declined, suggesting recovery and effective pain modulation. The study concludes that diclofenac administration effectively minimized physiological stress in West African Dwarf goats when administered before and after dehorning. Pre-emptive and continued dosing blunted peak cortisol responses, supported metabolic recovery, and reduced oxidative stress, highlighting its role in improving surgical stress and welfare in small ruminants.</w:t>
      </w:r>
    </w:p>
    <w:p w:rsidR="00C96F46" w:rsidRDefault="00160914">
      <w:pPr>
        <w:pBdr>
          <w:bottom w:val="single" w:sz="4" w:space="1" w:color="auto"/>
        </w:pBdr>
        <w:spacing w:after="0" w:line="240" w:lineRule="auto"/>
        <w:jc w:val="both"/>
        <w:rPr>
          <w:rFonts w:ascii="Times New Roman" w:eastAsia="Calibri" w:hAnsi="Times New Roman" w:cs="Times New Roman"/>
          <w:iCs/>
          <w:color w:val="000000" w:themeColor="text1"/>
          <w:sz w:val="20"/>
          <w:szCs w:val="20"/>
        </w:rPr>
      </w:pPr>
      <w:r>
        <w:rPr>
          <w:rFonts w:ascii="Times New Roman" w:eastAsia="Calibri" w:hAnsi="Times New Roman" w:cs="Times New Roman"/>
          <w:b/>
          <w:color w:val="000000" w:themeColor="text1"/>
          <w:sz w:val="20"/>
          <w:szCs w:val="20"/>
          <w:lang w:val="en-US"/>
        </w:rPr>
        <w:t>Keywords:</w:t>
      </w:r>
      <w:r>
        <w:rPr>
          <w:rFonts w:ascii="Times New Roman" w:eastAsia="Calibri" w:hAnsi="Times New Roman" w:cs="Times New Roman"/>
          <w:iCs/>
          <w:color w:val="000000" w:themeColor="text1"/>
          <w:sz w:val="20"/>
          <w:szCs w:val="20"/>
        </w:rPr>
        <w:t xml:space="preserve"> </w:t>
      </w:r>
      <w:r w:rsidR="000E63A9">
        <w:rPr>
          <w:rFonts w:ascii="Times New Roman" w:eastAsia="Calibri" w:hAnsi="Times New Roman" w:cs="Times New Roman"/>
          <w:iCs/>
          <w:color w:val="000000" w:themeColor="text1"/>
          <w:sz w:val="20"/>
          <w:szCs w:val="20"/>
        </w:rPr>
        <w:t>Analgesia, pain, ruminants, stress, surgery</w:t>
      </w:r>
    </w:p>
    <w:p w:rsidR="000E63A9" w:rsidRDefault="000E63A9">
      <w:pPr>
        <w:pBdr>
          <w:bottom w:val="single" w:sz="4" w:space="1" w:color="auto"/>
        </w:pBdr>
        <w:spacing w:after="0" w:line="240" w:lineRule="auto"/>
        <w:jc w:val="both"/>
        <w:rPr>
          <w:rFonts w:ascii="Times New Roman" w:eastAsia="Calibri" w:hAnsi="Times New Roman" w:cs="Times New Roman"/>
          <w:iCs/>
          <w:color w:val="000000" w:themeColor="text1"/>
          <w:sz w:val="20"/>
          <w:szCs w:val="20"/>
        </w:rPr>
        <w:sectPr w:rsidR="000E63A9" w:rsidSect="00DC1379">
          <w:headerReference w:type="even" r:id="rId10"/>
          <w:headerReference w:type="default" r:id="rId11"/>
          <w:footerReference w:type="default" r:id="rId12"/>
          <w:headerReference w:type="first" r:id="rId13"/>
          <w:pgSz w:w="11907" w:h="16839"/>
          <w:pgMar w:top="1382" w:right="837" w:bottom="1382" w:left="893" w:header="720" w:footer="720" w:gutter="0"/>
          <w:pgNumType w:start="288"/>
          <w:cols w:space="288"/>
          <w:docGrid w:linePitch="360"/>
        </w:sectPr>
      </w:pPr>
    </w:p>
    <w:p w:rsidR="00C96F46" w:rsidRDefault="00C96F46">
      <w:pPr>
        <w:spacing w:after="0"/>
        <w:jc w:val="both"/>
        <w:rPr>
          <w:rFonts w:ascii="Times New Roman" w:eastAsia="Calibri" w:hAnsi="Times New Roman" w:cs="Times New Roman"/>
          <w:b/>
          <w:bCs/>
          <w:iCs/>
          <w:color w:val="000000" w:themeColor="text1"/>
          <w:sz w:val="20"/>
          <w:szCs w:val="20"/>
          <w:lang w:val="en-US"/>
        </w:rPr>
      </w:pPr>
    </w:p>
    <w:p w:rsidR="00C96F46" w:rsidRDefault="00160914">
      <w:pPr>
        <w:spacing w:after="0"/>
        <w:jc w:val="both"/>
        <w:rPr>
          <w:rFonts w:ascii="Times New Roman" w:eastAsia="Calibri" w:hAnsi="Times New Roman" w:cs="Times New Roman"/>
          <w:b/>
          <w:bCs/>
          <w:iCs/>
          <w:color w:val="000000" w:themeColor="text1"/>
          <w:sz w:val="20"/>
          <w:szCs w:val="20"/>
          <w:lang w:val="en-US"/>
        </w:rPr>
      </w:pPr>
      <w:r>
        <w:rPr>
          <w:rFonts w:ascii="Times New Roman" w:eastAsia="Calibri" w:hAnsi="Times New Roman" w:cs="Times New Roman"/>
          <w:b/>
          <w:bCs/>
          <w:iCs/>
          <w:color w:val="000000" w:themeColor="text1"/>
          <w:sz w:val="20"/>
          <w:szCs w:val="20"/>
          <w:lang w:val="en-US"/>
        </w:rPr>
        <w:t>INTRODUCTION</w:t>
      </w:r>
    </w:p>
    <w:p w:rsidR="009B4362"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Dehorning is a customary husbandry procedure in animal production industries so as to lower the risk of animal injury, reduce handler injury, and prevent damage to farm property (Adam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xml:space="preserve">, 2021). Pain in ruminant species elicits measurable physiological responses, including alterations in haematology and biochemical parameters (Buhari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2020). These changes such as shifts in packed cell volume, serum enzymes, and stress-related biomarkers serve as vital indicators of health status and animal welfare (Onasanya</w:t>
      </w:r>
      <w:r>
        <w:rPr>
          <w:rFonts w:ascii="Times New Roman" w:hAnsi="Times New Roman" w:cs="Times New Roman"/>
          <w:sz w:val="20"/>
          <w:szCs w:val="20"/>
        </w:rPr>
        <w:t xml:space="preserve"> </w:t>
      </w:r>
      <w:r w:rsidRPr="00F85FF2">
        <w:rPr>
          <w:rFonts w:ascii="Times New Roman" w:hAnsi="Times New Roman" w:cs="Times New Roman"/>
          <w:i/>
          <w:iCs/>
          <w:sz w:val="20"/>
          <w:szCs w:val="20"/>
        </w:rPr>
        <w:t xml:space="preserve">et </w:t>
      </w:r>
      <w:r w:rsidRPr="00F85FF2">
        <w:rPr>
          <w:rFonts w:ascii="Times New Roman" w:hAnsi="Times New Roman" w:cs="Times New Roman"/>
          <w:i/>
          <w:iCs/>
          <w:sz w:val="20"/>
          <w:szCs w:val="20"/>
        </w:rPr>
        <w:lastRenderedPageBreak/>
        <w:t>al</w:t>
      </w:r>
      <w:r w:rsidRPr="00F85FF2">
        <w:rPr>
          <w:rFonts w:ascii="Times New Roman" w:hAnsi="Times New Roman" w:cs="Times New Roman"/>
          <w:sz w:val="20"/>
          <w:szCs w:val="20"/>
        </w:rPr>
        <w:t>., 2015). Studies have shown that factors like stress, management system</w:t>
      </w:r>
      <w:r w:rsidR="00315B39">
        <w:rPr>
          <w:rFonts w:ascii="Times New Roman" w:hAnsi="Times New Roman" w:cs="Times New Roman"/>
          <w:sz w:val="20"/>
          <w:szCs w:val="20"/>
        </w:rPr>
        <w:t xml:space="preserve">s, and environmental conditions </w:t>
      </w:r>
      <w:r w:rsidRPr="00F85FF2">
        <w:rPr>
          <w:rFonts w:ascii="Times New Roman" w:hAnsi="Times New Roman" w:cs="Times New Roman"/>
          <w:sz w:val="20"/>
          <w:szCs w:val="20"/>
        </w:rPr>
        <w:t>significantly influence these parameters, making them useful tools for assessing well-being in livestock animals (Radkowska</w:t>
      </w:r>
      <w:r w:rsidR="009B4362">
        <w:rPr>
          <w:rFonts w:ascii="Times New Roman" w:hAnsi="Times New Roman" w:cs="Times New Roman"/>
          <w:sz w:val="20"/>
          <w:szCs w:val="20"/>
        </w:rPr>
        <w:t xml:space="preserve"> </w:t>
      </w:r>
      <w:r w:rsidRPr="00F85FF2">
        <w:rPr>
          <w:rFonts w:ascii="Times New Roman" w:hAnsi="Times New Roman" w:cs="Times New Roman"/>
          <w:sz w:val="20"/>
          <w:szCs w:val="20"/>
        </w:rPr>
        <w:t>&amp;</w:t>
      </w:r>
      <w:r w:rsidR="009B4362">
        <w:rPr>
          <w:rFonts w:ascii="Times New Roman" w:hAnsi="Times New Roman" w:cs="Times New Roman"/>
          <w:sz w:val="20"/>
          <w:szCs w:val="20"/>
        </w:rPr>
        <w:t xml:space="preserve"> </w:t>
      </w:r>
      <w:r w:rsidRPr="00F85FF2">
        <w:rPr>
          <w:rFonts w:ascii="Times New Roman" w:hAnsi="Times New Roman" w:cs="Times New Roman"/>
          <w:sz w:val="20"/>
          <w:szCs w:val="20"/>
        </w:rPr>
        <w:t>Herbut, 2014; Onasanya</w:t>
      </w:r>
      <w:r w:rsidR="009B4362">
        <w:rPr>
          <w:rFonts w:ascii="Times New Roman" w:hAnsi="Times New Roman" w:cs="Times New Roman"/>
          <w:sz w:val="20"/>
          <w:szCs w:val="20"/>
        </w:rPr>
        <w:t xml:space="preserve">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2015).</w:t>
      </w:r>
    </w:p>
    <w:p w:rsidR="000E63A9"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Non-steroidal anti-inflammatory drugs (NSAIDs) are widely used in veterinary medicine for their analgesic, anti-inflammatory, and antipyretic properties. In small ruminants, NSAIDs such as flunixin meglumine, meloxicam, and diclofenac have been shown to reduce post-operative pain, modulate stress biomarkers, and improve recovery following </w:t>
      </w:r>
      <w:r w:rsidRPr="00F85FF2">
        <w:rPr>
          <w:rFonts w:ascii="Times New Roman" w:hAnsi="Times New Roman" w:cs="Times New Roman"/>
          <w:sz w:val="20"/>
          <w:szCs w:val="20"/>
        </w:rPr>
        <w:lastRenderedPageBreak/>
        <w:t xml:space="preserve">surgical procedures such as dehorning, castration, and laparotomy (Coetzee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xml:space="preserve">., 2012; Stock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2013; Buhari</w:t>
      </w:r>
      <w:r w:rsidRPr="00F85FF2">
        <w:rPr>
          <w:rFonts w:ascii="Times New Roman" w:hAnsi="Times New Roman" w:cs="Times New Roman"/>
          <w:i/>
          <w:iCs/>
          <w:sz w:val="20"/>
          <w:szCs w:val="20"/>
        </w:rPr>
        <w:t xml:space="preserve"> et al</w:t>
      </w:r>
      <w:r w:rsidRPr="00F85FF2">
        <w:rPr>
          <w:rFonts w:ascii="Times New Roman" w:hAnsi="Times New Roman" w:cs="Times New Roman"/>
          <w:sz w:val="20"/>
          <w:szCs w:val="20"/>
        </w:rPr>
        <w:t xml:space="preserve">., 2020). </w:t>
      </w:r>
    </w:p>
    <w:p w:rsidR="00F85FF2" w:rsidRPr="00F85FF2"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Diclofenac, a phenylacetic acid derivative and non-selective cyclooxygenase inhibitor, has demonstrated</w:t>
      </w:r>
      <w:r w:rsidR="00CB1B3D">
        <w:rPr>
          <w:rFonts w:ascii="Times New Roman" w:hAnsi="Times New Roman" w:cs="Times New Roman"/>
          <w:sz w:val="20"/>
          <w:szCs w:val="20"/>
        </w:rPr>
        <w:t xml:space="preserve"> </w:t>
      </w:r>
      <w:r w:rsidRPr="00F85FF2">
        <w:rPr>
          <w:rFonts w:ascii="Times New Roman" w:hAnsi="Times New Roman" w:cs="Times New Roman"/>
          <w:sz w:val="20"/>
          <w:szCs w:val="20"/>
        </w:rPr>
        <w:t>sustained analgesic effects, reduced inflammatory cell infiltration, and potential modulation of oxidative stress in livestock (Gomaa, 2017; Kolndadacha</w:t>
      </w:r>
      <w:r w:rsidR="009B4362">
        <w:rPr>
          <w:rFonts w:ascii="Times New Roman" w:hAnsi="Times New Roman" w:cs="Times New Roman"/>
          <w:sz w:val="20"/>
          <w:szCs w:val="20"/>
        </w:rPr>
        <w:t xml:space="preserve">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2023).</w:t>
      </w:r>
    </w:p>
    <w:p w:rsidR="00F85FF2" w:rsidRPr="00F85FF2"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Most existing literatures on pain mitigation following dehorning in ruminants are focused on exotic breeds, with limited studies on Nigerian indigenous goats such as the West African Dwarf (WAD) goat, despite its economic importance for meat and milk production in low-resource farming system. Study on NSAID use in WAD goats is particularly scarce, and to the best of our knowledge no study has reported effected of diclofenac on stress hormones, metabolic indicators, and oxidative stress markers during surgical dehorning of WAD goats.</w:t>
      </w:r>
    </w:p>
    <w:p w:rsidR="009B4362"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Given the paucity of data on dehorning WAD goats following administration of pre-emptive analgesia, this study aims to evaluate haematological and serum biochemical responses; cortisol, lactate, and reactive oxygen species to diclofenac administration prior and post-dehorning of WAD goat.  We hypothesized that pre-emptive analgesia with diclofenac at 3 mg/Kg prior to dehorning would produce minimal stress compared to immediate and subsequent post-dehorning administrations at intervals could maintain pain-free recovery period in apparently healthy WAD goats. </w:t>
      </w:r>
    </w:p>
    <w:p w:rsidR="00F85FF2"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The findings will contribute to evidence-based pain management strategies and promote humane livestock practices in tropical developing regions.</w:t>
      </w:r>
    </w:p>
    <w:p w:rsidR="009B4362" w:rsidRPr="00F85FF2" w:rsidRDefault="009B4362" w:rsidP="009B4362">
      <w:pPr>
        <w:spacing w:after="0"/>
        <w:jc w:val="both"/>
        <w:rPr>
          <w:rFonts w:ascii="Times New Roman" w:hAnsi="Times New Roman" w:cs="Times New Roman"/>
          <w:sz w:val="20"/>
          <w:szCs w:val="20"/>
        </w:rPr>
      </w:pPr>
    </w:p>
    <w:p w:rsidR="00F85FF2" w:rsidRPr="00F85FF2" w:rsidRDefault="009B4362" w:rsidP="009B4362">
      <w:pPr>
        <w:spacing w:after="0"/>
        <w:jc w:val="both"/>
        <w:rPr>
          <w:rFonts w:ascii="Times New Roman" w:hAnsi="Times New Roman" w:cs="Times New Roman"/>
          <w:b/>
          <w:bCs/>
          <w:sz w:val="20"/>
          <w:szCs w:val="20"/>
        </w:rPr>
      </w:pPr>
      <w:r w:rsidRPr="00F85FF2">
        <w:rPr>
          <w:rFonts w:ascii="Times New Roman" w:hAnsi="Times New Roman" w:cs="Times New Roman"/>
          <w:b/>
          <w:bCs/>
          <w:sz w:val="20"/>
          <w:szCs w:val="20"/>
        </w:rPr>
        <w:t>MATERIALS AND METHOD</w:t>
      </w:r>
    </w:p>
    <w:p w:rsidR="00F85FF2" w:rsidRPr="00F85FF2"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An ethical approval for the study was sought from the Ethical Review Committee (UERC) University of Ilorin, and was granted, and assigned an approval number: UERC/FVM/2025/10 before commencement of this study. All procedures were conducted in compliance with institutional and international guidelines for animal welfare. The study was conducted at the large animal surgery unit of the Department of Veterinary Surgery and Radiology, faculty of Veterinary medicine, University of Ilorin, Kwara state, Nigeria. Five clinically healthy male West African Dwarf (WAD) goats used for this study have age range of 10±2 months, weight of 13.5±1.5 Kg and vital parameters within physiological limits; rectal temperature, pulse rate and respiratory rate were 38.1±1°C, 79±2 beats per minute, and 27±2 breaths per minute respectively. They were housed in small ruminant pens of the Veterinary Teaching Hospital (VTH) of the faculty and acclimatized for two weeks, within which they undergo clinical examination, haematological and parasitological screening prior to enrolment to confirm </w:t>
      </w:r>
      <w:r w:rsidRPr="00F85FF2">
        <w:rPr>
          <w:rFonts w:ascii="Times New Roman" w:hAnsi="Times New Roman" w:cs="Times New Roman"/>
          <w:sz w:val="20"/>
          <w:szCs w:val="20"/>
        </w:rPr>
        <w:lastRenderedPageBreak/>
        <w:t>their health status. Prophylactic treatment with albendazole (Albenor</w:t>
      </w:r>
      <w:r w:rsidRPr="00F85FF2">
        <w:rPr>
          <w:rFonts w:ascii="Times New Roman" w:hAnsi="Times New Roman" w:cs="Times New Roman"/>
          <w:sz w:val="20"/>
          <w:szCs w:val="20"/>
          <w:vertAlign w:val="superscript"/>
        </w:rPr>
        <w:t>®</w:t>
      </w:r>
      <w:r w:rsidRPr="00F85FF2">
        <w:rPr>
          <w:rFonts w:ascii="Times New Roman" w:hAnsi="Times New Roman" w:cs="Times New Roman"/>
          <w:sz w:val="20"/>
          <w:szCs w:val="20"/>
        </w:rPr>
        <w:t xml:space="preserve">, Jubailiagrotec, Nigeria) at 7.5 mg/Kg PO (stat) and </w:t>
      </w:r>
      <w:r w:rsidRPr="00F85FF2">
        <w:rPr>
          <w:rFonts w:ascii="Times New Roman" w:hAnsi="Times New Roman" w:cs="Times New Roman"/>
          <w:sz w:val="20"/>
          <w:szCs w:val="20"/>
          <w:lang w:bidi="en-US"/>
        </w:rPr>
        <w:t>amoxicillin 15 mg/Kg</w:t>
      </w:r>
      <w:r w:rsidR="009B4362">
        <w:rPr>
          <w:rFonts w:ascii="Times New Roman" w:hAnsi="Times New Roman" w:cs="Times New Roman"/>
          <w:sz w:val="20"/>
          <w:szCs w:val="20"/>
          <w:lang w:bidi="en-US"/>
        </w:rPr>
        <w:t xml:space="preserve"> </w:t>
      </w:r>
      <w:r w:rsidRPr="00F85FF2">
        <w:rPr>
          <w:rFonts w:ascii="Times New Roman" w:hAnsi="Times New Roman" w:cs="Times New Roman"/>
          <w:sz w:val="20"/>
          <w:szCs w:val="20"/>
          <w:lang w:bidi="en-US"/>
        </w:rPr>
        <w:t>(AmoxiCare</w:t>
      </w:r>
      <w:r w:rsidRPr="00F85FF2">
        <w:rPr>
          <w:rFonts w:ascii="Times New Roman" w:hAnsi="Times New Roman" w:cs="Times New Roman"/>
          <w:sz w:val="20"/>
          <w:szCs w:val="20"/>
          <w:vertAlign w:val="superscript"/>
        </w:rPr>
        <w:t>®</w:t>
      </w:r>
      <w:r w:rsidRPr="00F85FF2">
        <w:rPr>
          <w:rFonts w:ascii="Times New Roman" w:hAnsi="Times New Roman" w:cs="Times New Roman"/>
          <w:sz w:val="20"/>
          <w:szCs w:val="20"/>
          <w:lang w:bidi="en-US"/>
        </w:rPr>
        <w:t>, Advacare pharmaceutical Limited, Shanghai, China) intramuscularly</w:t>
      </w:r>
      <w:r w:rsidRPr="00F85FF2">
        <w:rPr>
          <w:rFonts w:ascii="Times New Roman" w:hAnsi="Times New Roman" w:cs="Times New Roman"/>
          <w:sz w:val="20"/>
          <w:szCs w:val="20"/>
        </w:rPr>
        <w:t xml:space="preserve"> for 5 days was given. They were tethered for grazing during the day and housed indoors at night with </w:t>
      </w:r>
      <w:r w:rsidRPr="00F85FF2">
        <w:rPr>
          <w:rFonts w:ascii="Times New Roman" w:hAnsi="Times New Roman" w:cs="Times New Roman"/>
          <w:i/>
          <w:iCs/>
          <w:sz w:val="20"/>
          <w:szCs w:val="20"/>
        </w:rPr>
        <w:t>ad libitum</w:t>
      </w:r>
      <w:r w:rsidRPr="00F85FF2">
        <w:rPr>
          <w:rFonts w:ascii="Times New Roman" w:hAnsi="Times New Roman" w:cs="Times New Roman"/>
          <w:sz w:val="20"/>
          <w:szCs w:val="20"/>
        </w:rPr>
        <w:t xml:space="preserve"> access to water and supplementary feeding with cassava peels and bean husks. Feed and water were withdrawn from the experimental animals for 12 and 6h, respectively, prior to surgery to decrease rumen volume which may exert pressure on the diaphragm. </w:t>
      </w:r>
    </w:p>
    <w:p w:rsidR="00F85FF2" w:rsidRPr="00F85FF2" w:rsidRDefault="00F85FF2" w:rsidP="00F85FF2">
      <w:pPr>
        <w:jc w:val="both"/>
        <w:rPr>
          <w:rFonts w:ascii="Times New Roman" w:hAnsi="Times New Roman" w:cs="Times New Roman"/>
          <w:sz w:val="20"/>
          <w:szCs w:val="20"/>
        </w:rPr>
      </w:pPr>
      <w:r w:rsidRPr="00F85FF2">
        <w:rPr>
          <w:rFonts w:ascii="Times New Roman" w:hAnsi="Times New Roman" w:cs="Times New Roman"/>
          <w:sz w:val="20"/>
          <w:szCs w:val="20"/>
        </w:rPr>
        <w:t xml:space="preserve">A single-group design was used; the group serves as its own control via baseline measurements prior to surgery. Pre-emptive analgesia with 3% diclofenac (ShinePharm International, UK.) at 3 mg/Kg IM was administered 30 minutes before dehorning to mitigate acute pain and stress responses. The same dose was repeated at hours of 24, 72 and 120 (that is days 1, 3 and 5 respectively) post-dehorning. </w:t>
      </w:r>
    </w:p>
    <w:p w:rsidR="00F85FF2" w:rsidRPr="00F85FF2" w:rsidRDefault="009B4362" w:rsidP="009B4362">
      <w:pPr>
        <w:spacing w:after="0"/>
        <w:jc w:val="both"/>
        <w:rPr>
          <w:rFonts w:ascii="Times New Roman" w:hAnsi="Times New Roman" w:cs="Times New Roman"/>
          <w:b/>
          <w:bCs/>
          <w:sz w:val="20"/>
          <w:szCs w:val="20"/>
        </w:rPr>
      </w:pPr>
      <w:r w:rsidRPr="00F85FF2">
        <w:rPr>
          <w:rFonts w:ascii="Times New Roman" w:hAnsi="Times New Roman" w:cs="Times New Roman"/>
          <w:b/>
          <w:bCs/>
          <w:sz w:val="20"/>
          <w:szCs w:val="20"/>
        </w:rPr>
        <w:t>PATIENT PREPARATION, ANAESTHESIA PROTOCOL AND DEHORNING PROCEDURE:</w:t>
      </w:r>
    </w:p>
    <w:p w:rsidR="009B4362"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The goats were properly restrained, and the hair around the horn base was clipped, the area was disinfected with 0.3% chlorhexidinegluconate (Purit</w:t>
      </w:r>
      <w:r w:rsidRPr="00F85FF2">
        <w:rPr>
          <w:rFonts w:ascii="Times New Roman" w:hAnsi="Times New Roman" w:cs="Times New Roman"/>
          <w:sz w:val="20"/>
          <w:szCs w:val="20"/>
          <w:vertAlign w:val="superscript"/>
        </w:rPr>
        <w:t>®</w:t>
      </w:r>
      <w:r w:rsidRPr="00F85FF2">
        <w:rPr>
          <w:rFonts w:ascii="Times New Roman" w:hAnsi="Times New Roman" w:cs="Times New Roman"/>
          <w:sz w:val="20"/>
          <w:szCs w:val="20"/>
        </w:rPr>
        <w:t>, SaroLifecare Limited, Ibadan, Nigeria), 70% methyl-alcohol (Quick Aid</w:t>
      </w:r>
      <w:r w:rsidRPr="00F85FF2">
        <w:rPr>
          <w:rFonts w:ascii="Times New Roman" w:hAnsi="Times New Roman" w:cs="Times New Roman"/>
          <w:sz w:val="20"/>
          <w:szCs w:val="20"/>
          <w:vertAlign w:val="superscript"/>
        </w:rPr>
        <w:t>®</w:t>
      </w:r>
      <w:r w:rsidRPr="00F85FF2">
        <w:rPr>
          <w:rFonts w:ascii="Times New Roman" w:hAnsi="Times New Roman" w:cs="Times New Roman"/>
          <w:sz w:val="20"/>
          <w:szCs w:val="20"/>
        </w:rPr>
        <w:t>, Mecad Pharmaceutical Limited, Lagos, Nigeria) and then povidone-iodine (Wosan</w:t>
      </w:r>
      <w:r w:rsidRPr="00F85FF2">
        <w:rPr>
          <w:rFonts w:ascii="Times New Roman" w:hAnsi="Times New Roman" w:cs="Times New Roman"/>
          <w:sz w:val="20"/>
          <w:szCs w:val="20"/>
          <w:vertAlign w:val="superscript"/>
        </w:rPr>
        <w:t>®</w:t>
      </w:r>
      <w:r w:rsidRPr="00F85FF2">
        <w:rPr>
          <w:rFonts w:ascii="Times New Roman" w:hAnsi="Times New Roman" w:cs="Times New Roman"/>
          <w:sz w:val="20"/>
          <w:szCs w:val="20"/>
        </w:rPr>
        <w:t xml:space="preserve">, Jawa International Limited, Lagos, Nigeria). </w:t>
      </w:r>
    </w:p>
    <w:p w:rsidR="00F85FF2"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Anaesthesia was induced using 2% xylazine hydrochloride (Bioveta, Czech Republic) as sedative at 0.05 mg/Kg IM and 5% ketamine hydrochloride (DutchFarm, Netherlands) as anaesthetic at 5 mg/kg IM following a cornual nerve block with 1% lidocaine</w:t>
      </w:r>
      <w:r w:rsidR="00315B39">
        <w:rPr>
          <w:rFonts w:ascii="Times New Roman" w:hAnsi="Times New Roman" w:cs="Times New Roman"/>
          <w:sz w:val="20"/>
          <w:szCs w:val="20"/>
        </w:rPr>
        <w:t xml:space="preserve"> </w:t>
      </w:r>
      <w:r w:rsidRPr="00F85FF2">
        <w:rPr>
          <w:rFonts w:ascii="Times New Roman" w:hAnsi="Times New Roman" w:cs="Times New Roman"/>
          <w:sz w:val="20"/>
          <w:szCs w:val="20"/>
          <w:lang w:bidi="en-US"/>
        </w:rPr>
        <w:t>(Malven</w:t>
      </w:r>
      <w:r w:rsidRPr="00F85FF2">
        <w:rPr>
          <w:rFonts w:ascii="Times New Roman" w:hAnsi="Times New Roman" w:cs="Times New Roman"/>
          <w:sz w:val="20"/>
          <w:szCs w:val="20"/>
          <w:vertAlign w:val="superscript"/>
          <w:lang w:bidi="en-US"/>
        </w:rPr>
        <w:t>®</w:t>
      </w:r>
      <w:r w:rsidRPr="00F85FF2">
        <w:rPr>
          <w:rFonts w:ascii="Times New Roman" w:hAnsi="Times New Roman" w:cs="Times New Roman"/>
          <w:sz w:val="20"/>
          <w:szCs w:val="20"/>
          <w:lang w:bidi="en-US"/>
        </w:rPr>
        <w:t>, Pharmax India PVT. Ltd, Mumbai, India)</w:t>
      </w:r>
      <w:r w:rsidRPr="00F85FF2">
        <w:rPr>
          <w:rFonts w:ascii="Times New Roman" w:hAnsi="Times New Roman" w:cs="Times New Roman"/>
          <w:sz w:val="20"/>
          <w:szCs w:val="20"/>
        </w:rPr>
        <w:t xml:space="preserve"> 1.5 mL/site to desensitize the branches of lacrimal and infra trochlear nerves before dehorning was performed meticulously as described by Hendr</w:t>
      </w:r>
      <w:r w:rsidR="00315B39">
        <w:rPr>
          <w:rFonts w:ascii="Times New Roman" w:hAnsi="Times New Roman" w:cs="Times New Roman"/>
          <w:sz w:val="20"/>
          <w:szCs w:val="20"/>
        </w:rPr>
        <w:t>ickson &amp; Biard (2013) and Reddy</w:t>
      </w:r>
      <w:r w:rsidRPr="00F85FF2">
        <w:rPr>
          <w:rFonts w:ascii="Times New Roman" w:hAnsi="Times New Roman" w:cs="Times New Roman"/>
          <w:sz w:val="20"/>
          <w:szCs w:val="20"/>
        </w:rPr>
        <w:t xml:space="preserve">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(2017). All procedures were carried out by a licensed Veterinary surgeon. Briefly, patient was draped, the skin-horn base was incised round with a scalpel (Scalpel blade</w:t>
      </w:r>
      <w:r w:rsidRPr="00F85FF2">
        <w:rPr>
          <w:rFonts w:ascii="Times New Roman" w:hAnsi="Times New Roman" w:cs="Times New Roman"/>
          <w:sz w:val="20"/>
          <w:szCs w:val="20"/>
          <w:vertAlign w:val="superscript"/>
          <w:lang w:bidi="en-US"/>
        </w:rPr>
        <w:t>®</w:t>
      </w:r>
      <w:r w:rsidRPr="00F85FF2">
        <w:rPr>
          <w:rFonts w:ascii="Times New Roman" w:hAnsi="Times New Roman" w:cs="Times New Roman"/>
          <w:sz w:val="20"/>
          <w:szCs w:val="20"/>
        </w:rPr>
        <w:t>, New Delhi, India) and a Gigli wire (Surtex</w:t>
      </w:r>
      <w:r w:rsidRPr="00F85FF2">
        <w:rPr>
          <w:rFonts w:ascii="Times New Roman" w:hAnsi="Times New Roman" w:cs="Times New Roman"/>
          <w:sz w:val="20"/>
          <w:szCs w:val="20"/>
          <w:vertAlign w:val="superscript"/>
          <w:lang w:bidi="en-US"/>
        </w:rPr>
        <w:t>®</w:t>
      </w:r>
      <w:r w:rsidRPr="00F85FF2">
        <w:rPr>
          <w:rFonts w:ascii="Times New Roman" w:hAnsi="Times New Roman" w:cs="Times New Roman"/>
          <w:sz w:val="20"/>
          <w:szCs w:val="20"/>
          <w:lang w:bidi="en-US"/>
        </w:rPr>
        <w:t xml:space="preserve">, Surrey, England) </w:t>
      </w:r>
      <w:r w:rsidRPr="00F85FF2">
        <w:rPr>
          <w:rFonts w:ascii="Times New Roman" w:hAnsi="Times New Roman" w:cs="Times New Roman"/>
          <w:sz w:val="20"/>
          <w:szCs w:val="20"/>
        </w:rPr>
        <w:t xml:space="preserve">was placed in the caudomedial aspect of the incision, the horn was removed by steady minimal force directing the Gigli wire held by both hands back and forth and with the assistant surgeon supporting the goat head. Bleeding was controlled by applying gauze pressure, the skin at the incision edges was adequately undermined to facilitate primary closure with simple interrupted suture pattern using Nylon suture size 0 </w:t>
      </w:r>
      <w:r w:rsidRPr="00F85FF2">
        <w:rPr>
          <w:rFonts w:ascii="Times New Roman" w:hAnsi="Times New Roman" w:cs="Times New Roman"/>
          <w:sz w:val="20"/>
          <w:szCs w:val="20"/>
          <w:lang w:bidi="en-US"/>
        </w:rPr>
        <w:t>(Lifecare</w:t>
      </w:r>
      <w:r w:rsidRPr="00F85FF2">
        <w:rPr>
          <w:rFonts w:ascii="Times New Roman" w:hAnsi="Times New Roman" w:cs="Times New Roman"/>
          <w:sz w:val="20"/>
          <w:szCs w:val="20"/>
          <w:vertAlign w:val="superscript"/>
        </w:rPr>
        <w:t>®</w:t>
      </w:r>
      <w:r w:rsidRPr="00F85FF2">
        <w:rPr>
          <w:rFonts w:ascii="Times New Roman" w:hAnsi="Times New Roman" w:cs="Times New Roman"/>
          <w:sz w:val="20"/>
          <w:szCs w:val="20"/>
        </w:rPr>
        <w:t xml:space="preserve">, </w:t>
      </w:r>
      <w:r w:rsidRPr="00F85FF2">
        <w:rPr>
          <w:rFonts w:ascii="Times New Roman" w:hAnsi="Times New Roman" w:cs="Times New Roman"/>
          <w:sz w:val="20"/>
          <w:szCs w:val="20"/>
          <w:lang w:bidi="en-US"/>
        </w:rPr>
        <w:t>AnhuKangning Industrial Group, Co. Ltd., Anhui, China)</w:t>
      </w:r>
      <w:r w:rsidRPr="00F85FF2">
        <w:rPr>
          <w:rFonts w:ascii="Times New Roman" w:hAnsi="Times New Roman" w:cs="Times New Roman"/>
          <w:sz w:val="20"/>
          <w:szCs w:val="20"/>
        </w:rPr>
        <w:t>. Post-operatively, wounds were treated with oxytetracycline spray (oxyspray</w:t>
      </w:r>
      <w:r w:rsidRPr="00F85FF2">
        <w:rPr>
          <w:rFonts w:ascii="Times New Roman" w:hAnsi="Times New Roman" w:cs="Times New Roman"/>
          <w:sz w:val="20"/>
          <w:szCs w:val="20"/>
          <w:vertAlign w:val="superscript"/>
        </w:rPr>
        <w:t>®</w:t>
      </w:r>
      <w:r w:rsidRPr="00F85FF2">
        <w:rPr>
          <w:rFonts w:ascii="Times New Roman" w:hAnsi="Times New Roman" w:cs="Times New Roman"/>
          <w:sz w:val="20"/>
          <w:szCs w:val="20"/>
        </w:rPr>
        <w:t xml:space="preserve">, Gujarat, India), </w:t>
      </w:r>
      <w:r w:rsidRPr="00F85FF2">
        <w:rPr>
          <w:rFonts w:ascii="Times New Roman" w:hAnsi="Times New Roman" w:cs="Times New Roman"/>
          <w:sz w:val="20"/>
          <w:szCs w:val="20"/>
          <w:lang w:bidi="en-US"/>
        </w:rPr>
        <w:t>amoxicillin 15 mg/Kg</w:t>
      </w:r>
      <w:r w:rsidR="00315B39">
        <w:rPr>
          <w:rFonts w:ascii="Times New Roman" w:hAnsi="Times New Roman" w:cs="Times New Roman"/>
          <w:sz w:val="20"/>
          <w:szCs w:val="20"/>
          <w:lang w:bidi="en-US"/>
        </w:rPr>
        <w:t xml:space="preserve"> </w:t>
      </w:r>
      <w:r w:rsidRPr="00F85FF2">
        <w:rPr>
          <w:rFonts w:ascii="Times New Roman" w:hAnsi="Times New Roman" w:cs="Times New Roman"/>
          <w:sz w:val="20"/>
          <w:szCs w:val="20"/>
          <w:lang w:bidi="en-US"/>
        </w:rPr>
        <w:t>(AmoxiCare</w:t>
      </w:r>
      <w:r w:rsidRPr="00F85FF2">
        <w:rPr>
          <w:rFonts w:ascii="Times New Roman" w:hAnsi="Times New Roman" w:cs="Times New Roman"/>
          <w:sz w:val="20"/>
          <w:szCs w:val="20"/>
          <w:vertAlign w:val="superscript"/>
        </w:rPr>
        <w:t>®</w:t>
      </w:r>
      <w:r w:rsidRPr="00F85FF2">
        <w:rPr>
          <w:rFonts w:ascii="Times New Roman" w:hAnsi="Times New Roman" w:cs="Times New Roman"/>
          <w:sz w:val="20"/>
          <w:szCs w:val="20"/>
          <w:lang w:bidi="en-US"/>
        </w:rPr>
        <w:t xml:space="preserve">, Advacare pharmaceutical Limited, Shanghai, China) intramuscularly </w:t>
      </w:r>
      <w:r w:rsidRPr="00F85FF2">
        <w:rPr>
          <w:rFonts w:ascii="Times New Roman" w:hAnsi="Times New Roman" w:cs="Times New Roman"/>
          <w:sz w:val="20"/>
          <w:szCs w:val="20"/>
          <w:lang w:bidi="en-US"/>
        </w:rPr>
        <w:lastRenderedPageBreak/>
        <w:t>for 5 days</w:t>
      </w:r>
      <w:r w:rsidRPr="00F85FF2">
        <w:rPr>
          <w:rFonts w:ascii="Times New Roman" w:hAnsi="Times New Roman" w:cs="Times New Roman"/>
          <w:sz w:val="20"/>
          <w:szCs w:val="20"/>
        </w:rPr>
        <w:t>.</w:t>
      </w:r>
      <w:r w:rsidR="00315B39">
        <w:rPr>
          <w:rFonts w:ascii="Times New Roman" w:hAnsi="Times New Roman" w:cs="Times New Roman"/>
          <w:sz w:val="20"/>
          <w:szCs w:val="20"/>
        </w:rPr>
        <w:t xml:space="preserve"> </w:t>
      </w:r>
      <w:r w:rsidRPr="00F85FF2">
        <w:rPr>
          <w:rFonts w:ascii="Times New Roman" w:hAnsi="Times New Roman" w:cs="Times New Roman"/>
          <w:sz w:val="20"/>
          <w:szCs w:val="20"/>
        </w:rPr>
        <w:t>T</w:t>
      </w:r>
      <w:r w:rsidRPr="00F85FF2">
        <w:rPr>
          <w:rFonts w:ascii="Times New Roman" w:hAnsi="Times New Roman" w:cs="Times New Roman"/>
          <w:sz w:val="20"/>
          <w:szCs w:val="20"/>
          <w:lang w:bidi="en-US"/>
        </w:rPr>
        <w:t>he</w:t>
      </w:r>
      <w:r w:rsidR="00315B39">
        <w:rPr>
          <w:rFonts w:ascii="Times New Roman" w:hAnsi="Times New Roman" w:cs="Times New Roman"/>
          <w:sz w:val="20"/>
          <w:szCs w:val="20"/>
          <w:lang w:bidi="en-US"/>
        </w:rPr>
        <w:t xml:space="preserve"> </w:t>
      </w:r>
      <w:r w:rsidRPr="00F85FF2">
        <w:rPr>
          <w:rFonts w:ascii="Times New Roman" w:hAnsi="Times New Roman" w:cs="Times New Roman"/>
          <w:sz w:val="20"/>
          <w:szCs w:val="20"/>
          <w:lang w:bidi="en-US"/>
        </w:rPr>
        <w:t xml:space="preserve">wound was dressed daily for </w:t>
      </w:r>
      <w:r w:rsidRPr="00F85FF2">
        <w:rPr>
          <w:rFonts w:ascii="Times New Roman" w:hAnsi="Times New Roman" w:cs="Times New Roman"/>
          <w:sz w:val="20"/>
          <w:szCs w:val="20"/>
        </w:rPr>
        <w:t>a</w:t>
      </w:r>
      <w:r w:rsidRPr="00F85FF2">
        <w:rPr>
          <w:rFonts w:ascii="Times New Roman" w:hAnsi="Times New Roman" w:cs="Times New Roman"/>
          <w:sz w:val="20"/>
          <w:szCs w:val="20"/>
          <w:lang w:bidi="en-US"/>
        </w:rPr>
        <w:t xml:space="preserve"> week </w:t>
      </w:r>
      <w:r w:rsidRPr="00F85FF2">
        <w:rPr>
          <w:rFonts w:ascii="Times New Roman" w:hAnsi="Times New Roman" w:cs="Times New Roman"/>
          <w:sz w:val="20"/>
          <w:szCs w:val="20"/>
        </w:rPr>
        <w:t>which</w:t>
      </w:r>
      <w:r w:rsidRPr="00F85FF2">
        <w:rPr>
          <w:rFonts w:ascii="Times New Roman" w:hAnsi="Times New Roman" w:cs="Times New Roman"/>
          <w:sz w:val="20"/>
          <w:szCs w:val="20"/>
          <w:lang w:bidi="en-US"/>
        </w:rPr>
        <w:t xml:space="preserve"> healed by primary intention, the sutures were removed </w:t>
      </w:r>
      <w:r w:rsidRPr="00F85FF2">
        <w:rPr>
          <w:rFonts w:ascii="Times New Roman" w:hAnsi="Times New Roman" w:cs="Times New Roman"/>
          <w:sz w:val="20"/>
          <w:szCs w:val="20"/>
        </w:rPr>
        <w:t>12 days</w:t>
      </w:r>
      <w:r w:rsidR="00315B39">
        <w:rPr>
          <w:rFonts w:ascii="Times New Roman" w:hAnsi="Times New Roman" w:cs="Times New Roman"/>
          <w:sz w:val="20"/>
          <w:szCs w:val="20"/>
        </w:rPr>
        <w:t xml:space="preserve"> </w:t>
      </w:r>
      <w:r w:rsidRPr="00F85FF2">
        <w:rPr>
          <w:rFonts w:ascii="Times New Roman" w:hAnsi="Times New Roman" w:cs="Times New Roman"/>
          <w:sz w:val="20"/>
          <w:szCs w:val="20"/>
        </w:rPr>
        <w:t>post-surgery and t</w:t>
      </w:r>
      <w:r w:rsidRPr="00F85FF2">
        <w:rPr>
          <w:rFonts w:ascii="Times New Roman" w:hAnsi="Times New Roman" w:cs="Times New Roman"/>
          <w:sz w:val="20"/>
          <w:szCs w:val="20"/>
          <w:lang w:bidi="en-US"/>
        </w:rPr>
        <w:t>here were no complications</w:t>
      </w:r>
      <w:r w:rsidR="000E63A9">
        <w:rPr>
          <w:rFonts w:ascii="Times New Roman" w:hAnsi="Times New Roman" w:cs="Times New Roman"/>
          <w:sz w:val="20"/>
          <w:szCs w:val="20"/>
          <w:lang w:bidi="en-US"/>
        </w:rPr>
        <w:t xml:space="preserve"> </w:t>
      </w:r>
      <w:r w:rsidRPr="00F85FF2">
        <w:rPr>
          <w:rFonts w:ascii="Times New Roman" w:hAnsi="Times New Roman" w:cs="Times New Roman"/>
          <w:sz w:val="20"/>
          <w:szCs w:val="20"/>
          <w:lang w:bidi="en-US"/>
        </w:rPr>
        <w:t>and all the goats survived beyond</w:t>
      </w:r>
      <w:r w:rsidRPr="00F85FF2">
        <w:rPr>
          <w:rFonts w:ascii="Times New Roman" w:hAnsi="Times New Roman" w:cs="Times New Roman"/>
          <w:sz w:val="20"/>
          <w:szCs w:val="20"/>
        </w:rPr>
        <w:t xml:space="preserve"> experimental period.</w:t>
      </w:r>
    </w:p>
    <w:p w:rsidR="00CB1B3D" w:rsidRDefault="00CB1B3D" w:rsidP="009B4362">
      <w:pPr>
        <w:spacing w:after="0"/>
        <w:jc w:val="both"/>
        <w:rPr>
          <w:rFonts w:ascii="Times New Roman" w:hAnsi="Times New Roman" w:cs="Times New Roman"/>
          <w:sz w:val="20"/>
          <w:szCs w:val="20"/>
        </w:rPr>
      </w:pPr>
    </w:p>
    <w:p w:rsidR="00F85FF2" w:rsidRPr="00F85FF2" w:rsidRDefault="009B4362" w:rsidP="009B4362">
      <w:pPr>
        <w:spacing w:after="0"/>
        <w:jc w:val="both"/>
        <w:rPr>
          <w:rFonts w:ascii="Times New Roman" w:hAnsi="Times New Roman" w:cs="Times New Roman"/>
          <w:b/>
          <w:bCs/>
          <w:sz w:val="20"/>
          <w:szCs w:val="20"/>
        </w:rPr>
      </w:pPr>
      <w:r>
        <w:rPr>
          <w:rFonts w:ascii="Times New Roman" w:hAnsi="Times New Roman" w:cs="Times New Roman"/>
          <w:b/>
          <w:bCs/>
          <w:sz w:val="20"/>
          <w:szCs w:val="20"/>
        </w:rPr>
        <w:t>DATA COLLECTION</w:t>
      </w:r>
    </w:p>
    <w:p w:rsidR="00F85FF2"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About 5 mL of blood sample was collected via jugular venipuncture using needle and syringe pre-surgery (prior to first diclofenac administration as baseline data, 0- hour), and at 24-, 72-, and 120-hours post-dehorning (just before the post-surgical diclofenac administrations). For haematology, 3 mL was transferred into EDTA tubes and analyzed within 2 hours using an automated haematology analyzer (Mindray BC-2800Vet, China). For serum biochemistry, 2 mL was placed in plain tubes then centrifuged at 3,000 rpm for 10 minutes. Serum was aliquoted into cryovials and stored at –20°C until analysis to preserve biochemical stability.</w:t>
      </w:r>
    </w:p>
    <w:p w:rsidR="000E63A9" w:rsidRDefault="000E63A9" w:rsidP="009B4362">
      <w:pPr>
        <w:spacing w:after="0"/>
        <w:jc w:val="both"/>
        <w:rPr>
          <w:rFonts w:ascii="Times New Roman" w:hAnsi="Times New Roman" w:cs="Times New Roman"/>
          <w:b/>
          <w:bCs/>
          <w:sz w:val="20"/>
          <w:szCs w:val="20"/>
        </w:rPr>
      </w:pPr>
    </w:p>
    <w:p w:rsidR="00F85FF2" w:rsidRPr="00F85FF2" w:rsidRDefault="009B4362" w:rsidP="009B4362">
      <w:pPr>
        <w:spacing w:after="0"/>
        <w:jc w:val="both"/>
        <w:rPr>
          <w:rFonts w:ascii="Times New Roman" w:hAnsi="Times New Roman" w:cs="Times New Roman"/>
          <w:sz w:val="20"/>
          <w:szCs w:val="20"/>
        </w:rPr>
      </w:pPr>
      <w:r w:rsidRPr="00F85FF2">
        <w:rPr>
          <w:rFonts w:ascii="Times New Roman" w:hAnsi="Times New Roman" w:cs="Times New Roman"/>
          <w:b/>
          <w:bCs/>
          <w:sz w:val="20"/>
          <w:szCs w:val="20"/>
        </w:rPr>
        <w:t>BIOCHEMICAL ASSAYS</w:t>
      </w:r>
    </w:p>
    <w:p w:rsidR="000E63A9"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Cortisol: Measured using a commercially available ELISA kit (Monobind Inc., USA; sensitivity: 0.5 ng/mL; intra-assay CV: 5.6%; inter-assay CV: 7.4%). Lactate: Quantified enzymatically using a colorimetric lactate assay kit (Sigma-Aldrich, USA; sensitivity: 0.2 mmol/L; validated for caprine serum). Reactive Oxygen Species (ROS): Determined using a fluorometric assay kit (Cell Biolabs, Inc., USA; detection limit: 0.02 nmol/mL H₂O₂ equivalents). </w:t>
      </w:r>
    </w:p>
    <w:p w:rsidR="00F85FF2"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All assays were performed in duplicate according to</w:t>
      </w:r>
      <w:r w:rsidR="00E95475">
        <w:rPr>
          <w:rFonts w:ascii="Times New Roman" w:hAnsi="Times New Roman" w:cs="Times New Roman"/>
          <w:sz w:val="20"/>
          <w:szCs w:val="20"/>
        </w:rPr>
        <w:t xml:space="preserve"> </w:t>
      </w:r>
      <w:r w:rsidRPr="00F85FF2">
        <w:rPr>
          <w:rFonts w:ascii="Times New Roman" w:hAnsi="Times New Roman" w:cs="Times New Roman"/>
          <w:sz w:val="20"/>
          <w:szCs w:val="20"/>
        </w:rPr>
        <w:t xml:space="preserve">manufacturers’ instructions. </w:t>
      </w:r>
    </w:p>
    <w:p w:rsidR="00F85FF2" w:rsidRPr="00F85FF2" w:rsidRDefault="009B4362" w:rsidP="009B4362">
      <w:pPr>
        <w:spacing w:after="0"/>
        <w:jc w:val="both"/>
        <w:rPr>
          <w:rFonts w:ascii="Times New Roman" w:hAnsi="Times New Roman" w:cs="Times New Roman"/>
          <w:b/>
          <w:bCs/>
          <w:sz w:val="20"/>
          <w:szCs w:val="20"/>
        </w:rPr>
      </w:pPr>
      <w:r>
        <w:rPr>
          <w:rFonts w:ascii="Times New Roman" w:hAnsi="Times New Roman" w:cs="Times New Roman"/>
          <w:b/>
          <w:bCs/>
          <w:sz w:val="20"/>
          <w:szCs w:val="20"/>
        </w:rPr>
        <w:lastRenderedPageBreak/>
        <w:t>DATA ANALYSIS</w:t>
      </w:r>
    </w:p>
    <w:p w:rsidR="00F85FF2" w:rsidRDefault="00F85FF2" w:rsidP="009B4362">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All data collected were </w:t>
      </w:r>
      <w:r w:rsidRPr="00F85FF2">
        <w:rPr>
          <w:rFonts w:ascii="Times New Roman" w:hAnsi="Times New Roman" w:cs="Times New Roman"/>
          <w:sz w:val="20"/>
          <w:szCs w:val="20"/>
          <w:lang w:bidi="en-US"/>
        </w:rPr>
        <w:t xml:space="preserve">expressed </w:t>
      </w:r>
      <w:r w:rsidRPr="00F85FF2">
        <w:rPr>
          <w:rFonts w:ascii="Times New Roman" w:hAnsi="Times New Roman" w:cs="Times New Roman"/>
          <w:sz w:val="20"/>
          <w:szCs w:val="20"/>
        </w:rPr>
        <w:t>in</w:t>
      </w:r>
      <w:r w:rsidRPr="00F85FF2">
        <w:rPr>
          <w:rFonts w:ascii="Times New Roman" w:hAnsi="Times New Roman" w:cs="Times New Roman"/>
          <w:sz w:val="20"/>
          <w:szCs w:val="20"/>
          <w:lang w:bidi="en-US"/>
        </w:rPr>
        <w:t xml:space="preserve"> mean ± standard error </w:t>
      </w:r>
      <w:r w:rsidRPr="00F85FF2">
        <w:rPr>
          <w:rFonts w:ascii="Times New Roman" w:hAnsi="Times New Roman" w:cs="Times New Roman"/>
          <w:sz w:val="20"/>
          <w:szCs w:val="20"/>
        </w:rPr>
        <w:t xml:space="preserve">(SEM) </w:t>
      </w:r>
      <w:r w:rsidRPr="00F85FF2">
        <w:rPr>
          <w:rFonts w:ascii="Times New Roman" w:hAnsi="Times New Roman" w:cs="Times New Roman"/>
          <w:sz w:val="20"/>
          <w:szCs w:val="20"/>
          <w:lang w:bidi="en-US"/>
        </w:rPr>
        <w:t>of mean and subjected to</w:t>
      </w:r>
      <w:r w:rsidRPr="00F85FF2">
        <w:rPr>
          <w:rFonts w:ascii="Times New Roman" w:hAnsi="Times New Roman" w:cs="Times New Roman"/>
          <w:sz w:val="20"/>
          <w:szCs w:val="20"/>
        </w:rPr>
        <w:t xml:space="preserve"> Extended Paired t-test using commercially available InVivo</w:t>
      </w:r>
      <w:r w:rsidR="00315B39">
        <w:rPr>
          <w:rFonts w:ascii="Times New Roman" w:hAnsi="Times New Roman" w:cs="Times New Roman"/>
          <w:sz w:val="20"/>
          <w:szCs w:val="20"/>
        </w:rPr>
        <w:t xml:space="preserve"> </w:t>
      </w:r>
      <w:r w:rsidRPr="00F85FF2">
        <w:rPr>
          <w:rFonts w:ascii="Times New Roman" w:hAnsi="Times New Roman" w:cs="Times New Roman"/>
          <w:sz w:val="20"/>
          <w:szCs w:val="20"/>
        </w:rPr>
        <w:t>Stat statistical software, version 4.1.2. A value of p &lt; 0.05 was considered significant throughout this study.</w:t>
      </w:r>
    </w:p>
    <w:p w:rsidR="009B4362" w:rsidRPr="00F85FF2" w:rsidRDefault="009B4362" w:rsidP="009B4362">
      <w:pPr>
        <w:spacing w:after="0"/>
        <w:jc w:val="both"/>
        <w:rPr>
          <w:rFonts w:ascii="Times New Roman" w:hAnsi="Times New Roman" w:cs="Times New Roman"/>
          <w:sz w:val="20"/>
          <w:szCs w:val="20"/>
        </w:rPr>
      </w:pPr>
    </w:p>
    <w:p w:rsidR="00F85FF2" w:rsidRPr="009B4362" w:rsidRDefault="009B4362" w:rsidP="009B4362">
      <w:pPr>
        <w:spacing w:after="0"/>
        <w:jc w:val="both"/>
        <w:rPr>
          <w:rFonts w:ascii="Times New Roman" w:hAnsi="Times New Roman" w:cs="Times New Roman"/>
          <w:b/>
          <w:bCs/>
          <w:sz w:val="20"/>
          <w:szCs w:val="20"/>
        </w:rPr>
      </w:pPr>
      <w:r w:rsidRPr="009B4362">
        <w:rPr>
          <w:rFonts w:ascii="Times New Roman" w:hAnsi="Times New Roman" w:cs="Times New Roman"/>
          <w:b/>
          <w:bCs/>
          <w:sz w:val="20"/>
          <w:szCs w:val="20"/>
        </w:rPr>
        <w:t xml:space="preserve">RESULTS </w:t>
      </w:r>
    </w:p>
    <w:p w:rsidR="00F85FF2" w:rsidRPr="009B4362" w:rsidRDefault="009B4362" w:rsidP="009B4362">
      <w:pPr>
        <w:spacing w:after="0"/>
        <w:jc w:val="both"/>
        <w:rPr>
          <w:rFonts w:ascii="Times New Roman" w:hAnsi="Times New Roman" w:cs="Times New Roman"/>
          <w:b/>
          <w:sz w:val="20"/>
          <w:szCs w:val="20"/>
        </w:rPr>
      </w:pPr>
      <w:r w:rsidRPr="009B4362">
        <w:rPr>
          <w:rFonts w:ascii="Times New Roman" w:hAnsi="Times New Roman" w:cs="Times New Roman"/>
          <w:b/>
          <w:sz w:val="20"/>
          <w:szCs w:val="20"/>
        </w:rPr>
        <w:t>SERUM BIOCHEMISTRY</w:t>
      </w:r>
    </w:p>
    <w:tbl>
      <w:tblPr>
        <w:tblpPr w:leftFromText="180" w:rightFromText="180" w:vertAnchor="text" w:horzAnchor="margin" w:tblpY="1036"/>
        <w:tblW w:w="10417"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2674"/>
        <w:gridCol w:w="1831"/>
        <w:gridCol w:w="1548"/>
        <w:gridCol w:w="2111"/>
        <w:gridCol w:w="2253"/>
      </w:tblGrid>
      <w:tr w:rsidR="007A34FE" w:rsidRPr="00F85FF2" w:rsidTr="00E95475">
        <w:trPr>
          <w:trHeight w:val="271"/>
        </w:trPr>
        <w:tc>
          <w:tcPr>
            <w:tcW w:w="10417" w:type="dxa"/>
            <w:gridSpan w:val="5"/>
            <w:tcBorders>
              <w:top w:val="nil"/>
              <w:bottom w:val="single" w:sz="4" w:space="0" w:color="auto"/>
            </w:tcBorders>
            <w:vAlign w:val="bottom"/>
            <w:hideMark/>
          </w:tcPr>
          <w:p w:rsidR="007A34FE" w:rsidRPr="00FE3A28" w:rsidRDefault="007A34FE" w:rsidP="00E95475">
            <w:pPr>
              <w:spacing w:after="0"/>
              <w:jc w:val="both"/>
              <w:rPr>
                <w:rFonts w:ascii="Times New Roman" w:hAnsi="Times New Roman" w:cs="Times New Roman"/>
                <w:b/>
                <w:sz w:val="20"/>
                <w:szCs w:val="20"/>
              </w:rPr>
            </w:pPr>
            <w:r>
              <w:rPr>
                <w:rFonts w:ascii="Times New Roman" w:hAnsi="Times New Roman" w:cs="Times New Roman"/>
                <w:b/>
                <w:sz w:val="20"/>
                <w:szCs w:val="20"/>
              </w:rPr>
              <w:t xml:space="preserve">TABLE I: </w:t>
            </w:r>
            <w:r w:rsidRPr="00FE3A28">
              <w:rPr>
                <w:rFonts w:ascii="Times New Roman" w:hAnsi="Times New Roman" w:cs="Times New Roman"/>
                <w:b/>
                <w:sz w:val="20"/>
                <w:szCs w:val="20"/>
              </w:rPr>
              <w:t>CHANGES IN SOME SERUM BIOCHEMICAL INDICES OF WAD GOAT (MEAN ± SE)</w:t>
            </w:r>
          </w:p>
        </w:tc>
      </w:tr>
      <w:tr w:rsidR="007A34FE" w:rsidRPr="00F85FF2" w:rsidTr="00E95475">
        <w:trPr>
          <w:trHeight w:val="433"/>
        </w:trPr>
        <w:tc>
          <w:tcPr>
            <w:tcW w:w="2674" w:type="dxa"/>
            <w:tcBorders>
              <w:bottom w:val="single" w:sz="4" w:space="0" w:color="auto"/>
            </w:tcBorders>
            <w:vAlign w:val="bottom"/>
            <w:hideMark/>
          </w:tcPr>
          <w:p w:rsidR="007A34FE" w:rsidRDefault="007A34FE" w:rsidP="00E95475">
            <w:pPr>
              <w:spacing w:after="0"/>
              <w:jc w:val="both"/>
              <w:rPr>
                <w:rFonts w:ascii="Times New Roman" w:hAnsi="Times New Roman" w:cs="Times New Roman"/>
                <w:b/>
                <w:sz w:val="20"/>
                <w:szCs w:val="20"/>
              </w:rPr>
            </w:pPr>
            <w:r w:rsidRPr="00FE3A28">
              <w:rPr>
                <w:rFonts w:ascii="Times New Roman" w:hAnsi="Times New Roman" w:cs="Times New Roman"/>
                <w:b/>
                <w:sz w:val="20"/>
                <w:szCs w:val="20"/>
              </w:rPr>
              <w:t>Parameter (mmol/L)/Hour</w:t>
            </w:r>
          </w:p>
          <w:p w:rsidR="007A34FE" w:rsidRPr="00FE3A28" w:rsidRDefault="007A34FE" w:rsidP="00E95475">
            <w:pPr>
              <w:spacing w:after="0"/>
              <w:jc w:val="both"/>
              <w:rPr>
                <w:rFonts w:ascii="Times New Roman" w:hAnsi="Times New Roman" w:cs="Times New Roman"/>
                <w:b/>
                <w:sz w:val="20"/>
                <w:szCs w:val="20"/>
              </w:rPr>
            </w:pPr>
          </w:p>
        </w:tc>
        <w:tc>
          <w:tcPr>
            <w:tcW w:w="1831" w:type="dxa"/>
            <w:tcBorders>
              <w:bottom w:val="single" w:sz="4" w:space="0" w:color="auto"/>
            </w:tcBorders>
            <w:vAlign w:val="bottom"/>
            <w:hideMark/>
          </w:tcPr>
          <w:p w:rsidR="007A34FE" w:rsidRDefault="007A34FE" w:rsidP="00E95475">
            <w:pPr>
              <w:spacing w:after="0"/>
              <w:rPr>
                <w:rFonts w:ascii="Times New Roman" w:hAnsi="Times New Roman" w:cs="Times New Roman"/>
                <w:b/>
                <w:sz w:val="20"/>
                <w:szCs w:val="20"/>
              </w:rPr>
            </w:pPr>
            <w:r w:rsidRPr="00FE3A28">
              <w:rPr>
                <w:rFonts w:ascii="Times New Roman" w:hAnsi="Times New Roman" w:cs="Times New Roman"/>
                <w:b/>
                <w:sz w:val="20"/>
                <w:szCs w:val="20"/>
              </w:rPr>
              <w:t>0</w:t>
            </w:r>
          </w:p>
          <w:p w:rsidR="007A34FE" w:rsidRPr="00FE3A28" w:rsidRDefault="007A34FE" w:rsidP="00E95475">
            <w:pPr>
              <w:spacing w:after="0"/>
              <w:rPr>
                <w:rFonts w:ascii="Times New Roman" w:hAnsi="Times New Roman" w:cs="Times New Roman"/>
                <w:b/>
                <w:sz w:val="20"/>
                <w:szCs w:val="20"/>
              </w:rPr>
            </w:pPr>
          </w:p>
        </w:tc>
        <w:tc>
          <w:tcPr>
            <w:tcW w:w="1548" w:type="dxa"/>
            <w:tcBorders>
              <w:bottom w:val="single" w:sz="4" w:space="0" w:color="auto"/>
            </w:tcBorders>
            <w:vAlign w:val="bottom"/>
            <w:hideMark/>
          </w:tcPr>
          <w:p w:rsidR="007A34FE" w:rsidRDefault="007A34FE" w:rsidP="00E95475">
            <w:pPr>
              <w:spacing w:after="0"/>
              <w:rPr>
                <w:rFonts w:ascii="Times New Roman" w:hAnsi="Times New Roman" w:cs="Times New Roman"/>
                <w:b/>
                <w:sz w:val="20"/>
                <w:szCs w:val="20"/>
              </w:rPr>
            </w:pPr>
            <w:r w:rsidRPr="00FE3A28">
              <w:rPr>
                <w:rFonts w:ascii="Times New Roman" w:hAnsi="Times New Roman" w:cs="Times New Roman"/>
                <w:b/>
                <w:sz w:val="20"/>
                <w:szCs w:val="20"/>
              </w:rPr>
              <w:t>24</w:t>
            </w:r>
          </w:p>
          <w:p w:rsidR="007A34FE" w:rsidRPr="00FE3A28" w:rsidRDefault="007A34FE" w:rsidP="00E95475">
            <w:pPr>
              <w:spacing w:after="0"/>
              <w:rPr>
                <w:rFonts w:ascii="Times New Roman" w:hAnsi="Times New Roman" w:cs="Times New Roman"/>
                <w:b/>
                <w:sz w:val="20"/>
                <w:szCs w:val="20"/>
              </w:rPr>
            </w:pPr>
          </w:p>
        </w:tc>
        <w:tc>
          <w:tcPr>
            <w:tcW w:w="2111" w:type="dxa"/>
            <w:tcBorders>
              <w:bottom w:val="single" w:sz="4" w:space="0" w:color="auto"/>
            </w:tcBorders>
            <w:vAlign w:val="bottom"/>
            <w:hideMark/>
          </w:tcPr>
          <w:p w:rsidR="007A34FE" w:rsidRDefault="007A34FE" w:rsidP="00E95475">
            <w:pPr>
              <w:spacing w:after="0"/>
              <w:rPr>
                <w:rFonts w:ascii="Times New Roman" w:hAnsi="Times New Roman" w:cs="Times New Roman"/>
                <w:b/>
                <w:sz w:val="20"/>
                <w:szCs w:val="20"/>
              </w:rPr>
            </w:pPr>
            <w:r w:rsidRPr="00FE3A28">
              <w:rPr>
                <w:rFonts w:ascii="Times New Roman" w:hAnsi="Times New Roman" w:cs="Times New Roman"/>
                <w:b/>
                <w:sz w:val="20"/>
                <w:szCs w:val="20"/>
              </w:rPr>
              <w:t>72</w:t>
            </w:r>
          </w:p>
          <w:p w:rsidR="007A34FE" w:rsidRPr="00FE3A28" w:rsidRDefault="007A34FE" w:rsidP="00E95475">
            <w:pPr>
              <w:spacing w:after="0"/>
              <w:rPr>
                <w:rFonts w:ascii="Times New Roman" w:hAnsi="Times New Roman" w:cs="Times New Roman"/>
                <w:b/>
                <w:sz w:val="20"/>
                <w:szCs w:val="20"/>
              </w:rPr>
            </w:pPr>
          </w:p>
        </w:tc>
        <w:tc>
          <w:tcPr>
            <w:tcW w:w="2253" w:type="dxa"/>
            <w:tcBorders>
              <w:bottom w:val="single" w:sz="4" w:space="0" w:color="auto"/>
            </w:tcBorders>
            <w:vAlign w:val="bottom"/>
            <w:hideMark/>
          </w:tcPr>
          <w:p w:rsidR="007A34FE" w:rsidRDefault="007A34FE" w:rsidP="00E95475">
            <w:pPr>
              <w:spacing w:after="0"/>
              <w:rPr>
                <w:rFonts w:ascii="Times New Roman" w:hAnsi="Times New Roman" w:cs="Times New Roman"/>
                <w:b/>
                <w:sz w:val="20"/>
                <w:szCs w:val="20"/>
              </w:rPr>
            </w:pPr>
            <w:r w:rsidRPr="00FE3A28">
              <w:rPr>
                <w:rFonts w:ascii="Times New Roman" w:hAnsi="Times New Roman" w:cs="Times New Roman"/>
                <w:b/>
                <w:sz w:val="20"/>
                <w:szCs w:val="20"/>
              </w:rPr>
              <w:t>120</w:t>
            </w:r>
          </w:p>
          <w:p w:rsidR="007A34FE" w:rsidRPr="00FE3A28" w:rsidRDefault="007A34FE" w:rsidP="00E95475">
            <w:pPr>
              <w:spacing w:after="0"/>
              <w:rPr>
                <w:rFonts w:ascii="Times New Roman" w:hAnsi="Times New Roman" w:cs="Times New Roman"/>
                <w:b/>
                <w:sz w:val="20"/>
                <w:szCs w:val="20"/>
              </w:rPr>
            </w:pPr>
          </w:p>
        </w:tc>
      </w:tr>
      <w:tr w:rsidR="007A34FE" w:rsidRPr="00F85FF2" w:rsidTr="00E95475">
        <w:trPr>
          <w:trHeight w:val="334"/>
        </w:trPr>
        <w:tc>
          <w:tcPr>
            <w:tcW w:w="2674" w:type="dxa"/>
            <w:tcBorders>
              <w:bottom w:val="nil"/>
            </w:tcBorders>
            <w:vAlign w:val="bottom"/>
            <w:hideMark/>
          </w:tcPr>
          <w:p w:rsidR="007A34FE" w:rsidRDefault="007A34FE" w:rsidP="00E95475">
            <w:pPr>
              <w:spacing w:after="0"/>
              <w:rPr>
                <w:rFonts w:ascii="Times New Roman" w:hAnsi="Times New Roman" w:cs="Times New Roman"/>
                <w:sz w:val="20"/>
                <w:szCs w:val="20"/>
              </w:rPr>
            </w:pPr>
            <w:r w:rsidRPr="00F85FF2">
              <w:rPr>
                <w:rFonts w:ascii="Times New Roman" w:hAnsi="Times New Roman" w:cs="Times New Roman"/>
                <w:sz w:val="20"/>
                <w:szCs w:val="20"/>
              </w:rPr>
              <w:t xml:space="preserve"> Cortisol (ng/mL)</w:t>
            </w:r>
          </w:p>
          <w:p w:rsidR="007A34FE" w:rsidRPr="00F85FF2" w:rsidRDefault="007A34FE" w:rsidP="00E95475">
            <w:pPr>
              <w:spacing w:after="0"/>
              <w:rPr>
                <w:rFonts w:ascii="Times New Roman" w:hAnsi="Times New Roman" w:cs="Times New Roman"/>
                <w:sz w:val="20"/>
                <w:szCs w:val="20"/>
              </w:rPr>
            </w:pPr>
          </w:p>
        </w:tc>
        <w:tc>
          <w:tcPr>
            <w:tcW w:w="1831" w:type="dxa"/>
            <w:tcBorders>
              <w:bottom w:val="nil"/>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9.9 ± 2.3</w:t>
            </w:r>
            <w:r w:rsidRPr="00F85FF2">
              <w:rPr>
                <w:rFonts w:ascii="Times New Roman" w:hAnsi="Times New Roman" w:cs="Times New Roman"/>
                <w:sz w:val="20"/>
                <w:szCs w:val="20"/>
                <w:vertAlign w:val="superscript"/>
              </w:rPr>
              <w:t>a</w:t>
            </w:r>
          </w:p>
        </w:tc>
        <w:tc>
          <w:tcPr>
            <w:tcW w:w="1548" w:type="dxa"/>
            <w:tcBorders>
              <w:bottom w:val="nil"/>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17.3 ± 8.9</w:t>
            </w:r>
          </w:p>
        </w:tc>
        <w:tc>
          <w:tcPr>
            <w:tcW w:w="2111" w:type="dxa"/>
            <w:tcBorders>
              <w:bottom w:val="nil"/>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25.8 ± 15.7</w:t>
            </w:r>
            <w:r w:rsidRPr="00F85FF2">
              <w:rPr>
                <w:rFonts w:ascii="Times New Roman" w:hAnsi="Times New Roman" w:cs="Times New Roman"/>
                <w:sz w:val="20"/>
                <w:szCs w:val="20"/>
                <w:vertAlign w:val="superscript"/>
              </w:rPr>
              <w:t>a,b</w:t>
            </w:r>
          </w:p>
        </w:tc>
        <w:tc>
          <w:tcPr>
            <w:tcW w:w="2253" w:type="dxa"/>
            <w:tcBorders>
              <w:bottom w:val="nil"/>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8.9 ± 2. 8</w:t>
            </w:r>
            <w:r w:rsidRPr="00F85FF2">
              <w:rPr>
                <w:rFonts w:ascii="Times New Roman" w:hAnsi="Times New Roman" w:cs="Times New Roman"/>
                <w:sz w:val="20"/>
                <w:szCs w:val="20"/>
                <w:vertAlign w:val="superscript"/>
              </w:rPr>
              <w:t>b</w:t>
            </w:r>
          </w:p>
        </w:tc>
      </w:tr>
      <w:tr w:rsidR="007A34FE" w:rsidRPr="00F85FF2" w:rsidTr="00E95475">
        <w:trPr>
          <w:trHeight w:val="353"/>
        </w:trPr>
        <w:tc>
          <w:tcPr>
            <w:tcW w:w="2674" w:type="dxa"/>
            <w:tcBorders>
              <w:top w:val="nil"/>
              <w:bottom w:val="nil"/>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 xml:space="preserve"> Lactate(mmol/L)</w:t>
            </w:r>
          </w:p>
        </w:tc>
        <w:tc>
          <w:tcPr>
            <w:tcW w:w="1831" w:type="dxa"/>
            <w:tcBorders>
              <w:top w:val="nil"/>
              <w:bottom w:val="nil"/>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2.7 ± 1.1</w:t>
            </w:r>
            <w:r w:rsidRPr="00F85FF2">
              <w:rPr>
                <w:rFonts w:ascii="Times New Roman" w:hAnsi="Times New Roman" w:cs="Times New Roman"/>
                <w:sz w:val="20"/>
                <w:szCs w:val="20"/>
                <w:vertAlign w:val="superscript"/>
              </w:rPr>
              <w:t>a,b,c</w:t>
            </w:r>
          </w:p>
        </w:tc>
        <w:tc>
          <w:tcPr>
            <w:tcW w:w="1548" w:type="dxa"/>
            <w:tcBorders>
              <w:top w:val="nil"/>
              <w:bottom w:val="nil"/>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5.9 ± 0.9</w:t>
            </w:r>
            <w:r w:rsidRPr="00F85FF2">
              <w:rPr>
                <w:rFonts w:ascii="Times New Roman" w:hAnsi="Times New Roman" w:cs="Times New Roman"/>
                <w:sz w:val="20"/>
                <w:szCs w:val="20"/>
                <w:vertAlign w:val="superscript"/>
              </w:rPr>
              <w:t>b</w:t>
            </w:r>
          </w:p>
        </w:tc>
        <w:tc>
          <w:tcPr>
            <w:tcW w:w="2111" w:type="dxa"/>
            <w:tcBorders>
              <w:top w:val="nil"/>
              <w:bottom w:val="nil"/>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5.1 ± 0.2</w:t>
            </w:r>
            <w:r w:rsidRPr="00F85FF2">
              <w:rPr>
                <w:rFonts w:ascii="Times New Roman" w:hAnsi="Times New Roman" w:cs="Times New Roman"/>
                <w:sz w:val="20"/>
                <w:szCs w:val="20"/>
                <w:vertAlign w:val="superscript"/>
              </w:rPr>
              <w:t>c</w:t>
            </w:r>
          </w:p>
        </w:tc>
        <w:tc>
          <w:tcPr>
            <w:tcW w:w="2253" w:type="dxa"/>
            <w:tcBorders>
              <w:top w:val="nil"/>
              <w:bottom w:val="nil"/>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5.3 ± 0.9</w:t>
            </w:r>
            <w:r w:rsidRPr="00F85FF2">
              <w:rPr>
                <w:rFonts w:ascii="Times New Roman" w:hAnsi="Times New Roman" w:cs="Times New Roman"/>
                <w:sz w:val="20"/>
                <w:szCs w:val="20"/>
                <w:vertAlign w:val="superscript"/>
              </w:rPr>
              <w:t>a</w:t>
            </w:r>
          </w:p>
        </w:tc>
      </w:tr>
      <w:tr w:rsidR="007A34FE" w:rsidRPr="00F85FF2" w:rsidTr="00E95475">
        <w:trPr>
          <w:trHeight w:val="344"/>
        </w:trPr>
        <w:tc>
          <w:tcPr>
            <w:tcW w:w="2674" w:type="dxa"/>
            <w:tcBorders>
              <w:top w:val="nil"/>
              <w:bottom w:val="single" w:sz="4" w:space="0" w:color="auto"/>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 xml:space="preserve"> ROS</w:t>
            </w:r>
          </w:p>
        </w:tc>
        <w:tc>
          <w:tcPr>
            <w:tcW w:w="1831" w:type="dxa"/>
            <w:tcBorders>
              <w:top w:val="nil"/>
              <w:bottom w:val="single" w:sz="4" w:space="0" w:color="auto"/>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1.5 ± 0.7</w:t>
            </w:r>
            <w:r w:rsidRPr="00F85FF2">
              <w:rPr>
                <w:rFonts w:ascii="Times New Roman" w:hAnsi="Times New Roman" w:cs="Times New Roman"/>
                <w:sz w:val="20"/>
                <w:szCs w:val="20"/>
                <w:vertAlign w:val="superscript"/>
              </w:rPr>
              <w:t>a,b</w:t>
            </w:r>
          </w:p>
        </w:tc>
        <w:tc>
          <w:tcPr>
            <w:tcW w:w="1548" w:type="dxa"/>
            <w:tcBorders>
              <w:top w:val="nil"/>
              <w:bottom w:val="single" w:sz="4" w:space="0" w:color="auto"/>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0.8 ± 0.4</w:t>
            </w:r>
            <w:r w:rsidRPr="00F85FF2">
              <w:rPr>
                <w:rFonts w:ascii="Times New Roman" w:hAnsi="Times New Roman" w:cs="Times New Roman"/>
                <w:sz w:val="20"/>
                <w:szCs w:val="20"/>
                <w:vertAlign w:val="superscript"/>
              </w:rPr>
              <w:t>b</w:t>
            </w:r>
          </w:p>
        </w:tc>
        <w:tc>
          <w:tcPr>
            <w:tcW w:w="2111" w:type="dxa"/>
            <w:tcBorders>
              <w:top w:val="nil"/>
              <w:bottom w:val="single" w:sz="4" w:space="0" w:color="auto"/>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1.2 ± 0.2</w:t>
            </w:r>
          </w:p>
        </w:tc>
        <w:tc>
          <w:tcPr>
            <w:tcW w:w="2253" w:type="dxa"/>
            <w:tcBorders>
              <w:top w:val="nil"/>
              <w:bottom w:val="single" w:sz="4" w:space="0" w:color="auto"/>
            </w:tcBorders>
            <w:vAlign w:val="bottom"/>
            <w:hideMark/>
          </w:tcPr>
          <w:p w:rsidR="007A34FE" w:rsidRPr="00F85FF2" w:rsidRDefault="007A34FE" w:rsidP="00E95475">
            <w:pPr>
              <w:rPr>
                <w:rFonts w:ascii="Times New Roman" w:hAnsi="Times New Roman" w:cs="Times New Roman"/>
                <w:sz w:val="20"/>
                <w:szCs w:val="20"/>
              </w:rPr>
            </w:pPr>
            <w:r w:rsidRPr="00F85FF2">
              <w:rPr>
                <w:rFonts w:ascii="Times New Roman" w:hAnsi="Times New Roman" w:cs="Times New Roman"/>
                <w:sz w:val="20"/>
                <w:szCs w:val="20"/>
              </w:rPr>
              <w:t>0.9 ± 0.4</w:t>
            </w:r>
            <w:r w:rsidRPr="00F85FF2">
              <w:rPr>
                <w:rFonts w:ascii="Times New Roman" w:hAnsi="Times New Roman" w:cs="Times New Roman"/>
                <w:sz w:val="20"/>
                <w:szCs w:val="20"/>
                <w:vertAlign w:val="superscript"/>
              </w:rPr>
              <w:t>a</w:t>
            </w:r>
          </w:p>
        </w:tc>
      </w:tr>
      <w:tr w:rsidR="007A34FE" w:rsidRPr="00F85FF2" w:rsidTr="00E95475">
        <w:trPr>
          <w:trHeight w:val="344"/>
        </w:trPr>
        <w:tc>
          <w:tcPr>
            <w:tcW w:w="10417" w:type="dxa"/>
            <w:gridSpan w:val="5"/>
            <w:tcBorders>
              <w:top w:val="single" w:sz="4" w:space="0" w:color="auto"/>
              <w:bottom w:val="nil"/>
            </w:tcBorders>
            <w:vAlign w:val="bottom"/>
            <w:hideMark/>
          </w:tcPr>
          <w:p w:rsidR="007A34FE" w:rsidRDefault="007A34FE" w:rsidP="00E95475">
            <w:pPr>
              <w:spacing w:after="0"/>
              <w:jc w:val="both"/>
              <w:rPr>
                <w:rFonts w:ascii="Times New Roman" w:hAnsi="Times New Roman" w:cs="Times New Roman"/>
                <w:b/>
                <w:sz w:val="20"/>
                <w:szCs w:val="20"/>
              </w:rPr>
            </w:pPr>
            <w:r w:rsidRPr="007A34FE">
              <w:rPr>
                <w:rFonts w:ascii="Times New Roman" w:hAnsi="Times New Roman" w:cs="Times New Roman"/>
                <w:b/>
                <w:sz w:val="20"/>
                <w:szCs w:val="20"/>
              </w:rPr>
              <w:t>Means ± SE with the same superscript(s) across a row are statistically significant at P&lt;0.05</w:t>
            </w:r>
            <w:r>
              <w:rPr>
                <w:rFonts w:ascii="Times New Roman" w:hAnsi="Times New Roman" w:cs="Times New Roman"/>
                <w:b/>
                <w:sz w:val="20"/>
                <w:szCs w:val="20"/>
              </w:rPr>
              <w:t xml:space="preserve">. </w:t>
            </w:r>
            <w:r w:rsidRPr="007A34FE">
              <w:rPr>
                <w:rFonts w:ascii="Times New Roman" w:hAnsi="Times New Roman" w:cs="Times New Roman"/>
                <w:b/>
                <w:sz w:val="20"/>
                <w:szCs w:val="20"/>
              </w:rPr>
              <w:t xml:space="preserve"> Key: ROS, Reactive Oxygen Species </w:t>
            </w:r>
          </w:p>
          <w:p w:rsidR="000E63A9" w:rsidRPr="007A34FE" w:rsidRDefault="000E63A9" w:rsidP="00E95475">
            <w:pPr>
              <w:spacing w:after="0"/>
              <w:jc w:val="both"/>
              <w:rPr>
                <w:rFonts w:ascii="Times New Roman" w:hAnsi="Times New Roman" w:cs="Times New Roman"/>
                <w:b/>
                <w:sz w:val="20"/>
                <w:szCs w:val="20"/>
              </w:rPr>
            </w:pPr>
          </w:p>
        </w:tc>
      </w:tr>
    </w:tbl>
    <w:p w:rsidR="000E63A9" w:rsidRDefault="007A34FE" w:rsidP="007A34FE">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Cortisol: Mean serum cortisol at baseline (0 hour) was 9.9 ± 2.3 ng/mL, increasing sharply to 25.8 ± 15.7 ng/mL at 72 hour (p = 0.0090). This marked rise was followed by a significant decline to 8.9 ± 2.8 ng/mL at 120 hour (p = 0.0084). </w:t>
      </w:r>
    </w:p>
    <w:p w:rsidR="007A34FE" w:rsidRDefault="007A34FE" w:rsidP="007A34FE">
      <w:pPr>
        <w:spacing w:after="0"/>
        <w:jc w:val="both"/>
        <w:rPr>
          <w:rFonts w:ascii="Times New Roman" w:hAnsi="Times New Roman" w:cs="Times New Roman"/>
          <w:sz w:val="20"/>
          <w:szCs w:val="20"/>
        </w:rPr>
      </w:pPr>
      <w:r w:rsidRPr="00F85FF2">
        <w:rPr>
          <w:rFonts w:ascii="Times New Roman" w:hAnsi="Times New Roman" w:cs="Times New Roman"/>
          <w:sz w:val="20"/>
          <w:szCs w:val="20"/>
        </w:rPr>
        <w:t>Lactate: Baseline lactate was 2.7 ± 1.1 mmol/L, rising significantly to 5.9 ± 0.9 mmol/L at 24 hour p = 0.0001) and remaining elevated at 72 hour 5.1 ± 0.2 mmol/L (p = 0.0005). Interestingly lactate level decreased at 120 hours 5.31 ± 0.87 mmol/L (p= 0.0003) though not close to the baseline mean value.</w:t>
      </w:r>
    </w:p>
    <w:p w:rsidR="007A34FE" w:rsidRPr="00F85FF2" w:rsidRDefault="007A34FE" w:rsidP="007A34FE">
      <w:pPr>
        <w:jc w:val="both"/>
        <w:rPr>
          <w:rFonts w:ascii="Times New Roman" w:hAnsi="Times New Roman" w:cs="Times New Roman"/>
          <w:sz w:val="20"/>
          <w:szCs w:val="20"/>
        </w:rPr>
      </w:pPr>
      <w:r w:rsidRPr="00F85FF2">
        <w:rPr>
          <w:rFonts w:ascii="Times New Roman" w:hAnsi="Times New Roman" w:cs="Times New Roman"/>
          <w:sz w:val="20"/>
          <w:szCs w:val="20"/>
        </w:rPr>
        <w:t>Reactive Oxygen Species (ROS): ROS levels decreased significantly from 1.5 ± 0.7 at baseline to 0.8 ± 0.4 at 24 hour (p = 0.0204), and remained lower throughout the study at 1</w:t>
      </w:r>
      <w:r w:rsidR="00E95475">
        <w:rPr>
          <w:rFonts w:ascii="Times New Roman" w:hAnsi="Times New Roman" w:cs="Times New Roman"/>
          <w:sz w:val="20"/>
          <w:szCs w:val="20"/>
        </w:rPr>
        <w:t>20 hour 0.9 ± 0.4 (p = 0.0366).</w:t>
      </w:r>
    </w:p>
    <w:tbl>
      <w:tblPr>
        <w:tblpPr w:leftFromText="180" w:rightFromText="180" w:vertAnchor="text" w:horzAnchor="margin" w:tblpY="814"/>
        <w:tblW w:w="10456"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2684"/>
        <w:gridCol w:w="1838"/>
        <w:gridCol w:w="1554"/>
        <w:gridCol w:w="2119"/>
        <w:gridCol w:w="2261"/>
      </w:tblGrid>
      <w:tr w:rsidR="007A34FE" w:rsidRPr="00F85FF2" w:rsidTr="000E63A9">
        <w:trPr>
          <w:trHeight w:val="304"/>
        </w:trPr>
        <w:tc>
          <w:tcPr>
            <w:tcW w:w="10456" w:type="dxa"/>
            <w:gridSpan w:val="5"/>
            <w:tcBorders>
              <w:top w:val="nil"/>
              <w:bottom w:val="single" w:sz="4" w:space="0" w:color="auto"/>
            </w:tcBorders>
            <w:vAlign w:val="bottom"/>
            <w:hideMark/>
          </w:tcPr>
          <w:p w:rsidR="007A34FE" w:rsidRPr="00FE3A28" w:rsidRDefault="007A34FE" w:rsidP="000E63A9">
            <w:pPr>
              <w:spacing w:after="0"/>
              <w:jc w:val="both"/>
              <w:rPr>
                <w:rFonts w:ascii="Times New Roman" w:hAnsi="Times New Roman" w:cs="Times New Roman"/>
                <w:b/>
                <w:sz w:val="20"/>
                <w:szCs w:val="20"/>
              </w:rPr>
            </w:pPr>
            <w:r>
              <w:rPr>
                <w:rFonts w:ascii="Times New Roman" w:hAnsi="Times New Roman" w:cs="Times New Roman"/>
                <w:b/>
                <w:sz w:val="20"/>
                <w:szCs w:val="20"/>
              </w:rPr>
              <w:t xml:space="preserve">TABLE II: </w:t>
            </w:r>
            <w:r w:rsidRPr="005E7F90">
              <w:rPr>
                <w:sz w:val="20"/>
                <w:szCs w:val="20"/>
              </w:rPr>
              <w:t xml:space="preserve"> </w:t>
            </w:r>
            <w:r w:rsidRPr="007A34FE">
              <w:rPr>
                <w:rFonts w:ascii="Times New Roman" w:hAnsi="Times New Roman" w:cs="Times New Roman"/>
                <w:b/>
                <w:sz w:val="20"/>
                <w:szCs w:val="20"/>
              </w:rPr>
              <w:t>CHANGES IN PVC, HB, RBC AND WBC OF WAD GOAT (MEAN ± SE)</w:t>
            </w:r>
          </w:p>
        </w:tc>
      </w:tr>
      <w:tr w:rsidR="007A34FE" w:rsidRPr="00F85FF2" w:rsidTr="000E63A9">
        <w:trPr>
          <w:trHeight w:val="485"/>
        </w:trPr>
        <w:tc>
          <w:tcPr>
            <w:tcW w:w="2684" w:type="dxa"/>
            <w:tcBorders>
              <w:bottom w:val="single" w:sz="4" w:space="0" w:color="auto"/>
            </w:tcBorders>
            <w:vAlign w:val="bottom"/>
            <w:hideMark/>
          </w:tcPr>
          <w:p w:rsidR="007A34FE" w:rsidRDefault="007A34FE" w:rsidP="000E63A9">
            <w:pPr>
              <w:spacing w:after="0"/>
              <w:jc w:val="both"/>
              <w:rPr>
                <w:rFonts w:ascii="Times New Roman" w:hAnsi="Times New Roman" w:cs="Times New Roman"/>
                <w:b/>
                <w:sz w:val="20"/>
                <w:szCs w:val="20"/>
              </w:rPr>
            </w:pPr>
            <w:r w:rsidRPr="00FE3A28">
              <w:rPr>
                <w:rFonts w:ascii="Times New Roman" w:hAnsi="Times New Roman" w:cs="Times New Roman"/>
                <w:b/>
                <w:sz w:val="20"/>
                <w:szCs w:val="20"/>
              </w:rPr>
              <w:t>Parameter (mmol/L)/Hour</w:t>
            </w:r>
          </w:p>
          <w:p w:rsidR="007A34FE" w:rsidRPr="00FE3A28" w:rsidRDefault="007A34FE" w:rsidP="000E63A9">
            <w:pPr>
              <w:spacing w:after="0"/>
              <w:jc w:val="both"/>
              <w:rPr>
                <w:rFonts w:ascii="Times New Roman" w:hAnsi="Times New Roman" w:cs="Times New Roman"/>
                <w:b/>
                <w:sz w:val="20"/>
                <w:szCs w:val="20"/>
              </w:rPr>
            </w:pPr>
          </w:p>
        </w:tc>
        <w:tc>
          <w:tcPr>
            <w:tcW w:w="1838" w:type="dxa"/>
            <w:tcBorders>
              <w:bottom w:val="single" w:sz="4" w:space="0" w:color="auto"/>
            </w:tcBorders>
            <w:vAlign w:val="bottom"/>
            <w:hideMark/>
          </w:tcPr>
          <w:p w:rsidR="007A34FE" w:rsidRDefault="007A34FE" w:rsidP="000E63A9">
            <w:pPr>
              <w:spacing w:after="0"/>
              <w:rPr>
                <w:rFonts w:ascii="Times New Roman" w:hAnsi="Times New Roman" w:cs="Times New Roman"/>
                <w:b/>
                <w:sz w:val="20"/>
                <w:szCs w:val="20"/>
              </w:rPr>
            </w:pPr>
            <w:r w:rsidRPr="00FE3A28">
              <w:rPr>
                <w:rFonts w:ascii="Times New Roman" w:hAnsi="Times New Roman" w:cs="Times New Roman"/>
                <w:b/>
                <w:sz w:val="20"/>
                <w:szCs w:val="20"/>
              </w:rPr>
              <w:t>0</w:t>
            </w:r>
          </w:p>
          <w:p w:rsidR="007A34FE" w:rsidRPr="00FE3A28" w:rsidRDefault="007A34FE" w:rsidP="000E63A9">
            <w:pPr>
              <w:spacing w:after="0"/>
              <w:rPr>
                <w:rFonts w:ascii="Times New Roman" w:hAnsi="Times New Roman" w:cs="Times New Roman"/>
                <w:b/>
                <w:sz w:val="20"/>
                <w:szCs w:val="20"/>
              </w:rPr>
            </w:pPr>
          </w:p>
        </w:tc>
        <w:tc>
          <w:tcPr>
            <w:tcW w:w="1554" w:type="dxa"/>
            <w:tcBorders>
              <w:bottom w:val="single" w:sz="4" w:space="0" w:color="auto"/>
            </w:tcBorders>
            <w:vAlign w:val="bottom"/>
            <w:hideMark/>
          </w:tcPr>
          <w:p w:rsidR="007A34FE" w:rsidRDefault="007A34FE" w:rsidP="000E63A9">
            <w:pPr>
              <w:spacing w:after="0"/>
              <w:rPr>
                <w:rFonts w:ascii="Times New Roman" w:hAnsi="Times New Roman" w:cs="Times New Roman"/>
                <w:b/>
                <w:sz w:val="20"/>
                <w:szCs w:val="20"/>
              </w:rPr>
            </w:pPr>
            <w:r w:rsidRPr="00FE3A28">
              <w:rPr>
                <w:rFonts w:ascii="Times New Roman" w:hAnsi="Times New Roman" w:cs="Times New Roman"/>
                <w:b/>
                <w:sz w:val="20"/>
                <w:szCs w:val="20"/>
              </w:rPr>
              <w:t>24</w:t>
            </w:r>
          </w:p>
          <w:p w:rsidR="007A34FE" w:rsidRPr="00FE3A28" w:rsidRDefault="007A34FE" w:rsidP="000E63A9">
            <w:pPr>
              <w:spacing w:after="0"/>
              <w:rPr>
                <w:rFonts w:ascii="Times New Roman" w:hAnsi="Times New Roman" w:cs="Times New Roman"/>
                <w:b/>
                <w:sz w:val="20"/>
                <w:szCs w:val="20"/>
              </w:rPr>
            </w:pPr>
          </w:p>
        </w:tc>
        <w:tc>
          <w:tcPr>
            <w:tcW w:w="2119" w:type="dxa"/>
            <w:tcBorders>
              <w:bottom w:val="single" w:sz="4" w:space="0" w:color="auto"/>
            </w:tcBorders>
            <w:vAlign w:val="bottom"/>
            <w:hideMark/>
          </w:tcPr>
          <w:p w:rsidR="007A34FE" w:rsidRDefault="007A34FE" w:rsidP="000E63A9">
            <w:pPr>
              <w:spacing w:after="0"/>
              <w:rPr>
                <w:rFonts w:ascii="Times New Roman" w:hAnsi="Times New Roman" w:cs="Times New Roman"/>
                <w:b/>
                <w:sz w:val="20"/>
                <w:szCs w:val="20"/>
              </w:rPr>
            </w:pPr>
            <w:r w:rsidRPr="00FE3A28">
              <w:rPr>
                <w:rFonts w:ascii="Times New Roman" w:hAnsi="Times New Roman" w:cs="Times New Roman"/>
                <w:b/>
                <w:sz w:val="20"/>
                <w:szCs w:val="20"/>
              </w:rPr>
              <w:t>72</w:t>
            </w:r>
          </w:p>
          <w:p w:rsidR="007A34FE" w:rsidRPr="00FE3A28" w:rsidRDefault="007A34FE" w:rsidP="000E63A9">
            <w:pPr>
              <w:spacing w:after="0"/>
              <w:rPr>
                <w:rFonts w:ascii="Times New Roman" w:hAnsi="Times New Roman" w:cs="Times New Roman"/>
                <w:b/>
                <w:sz w:val="20"/>
                <w:szCs w:val="20"/>
              </w:rPr>
            </w:pPr>
          </w:p>
        </w:tc>
        <w:tc>
          <w:tcPr>
            <w:tcW w:w="2261" w:type="dxa"/>
            <w:tcBorders>
              <w:bottom w:val="single" w:sz="4" w:space="0" w:color="auto"/>
            </w:tcBorders>
            <w:vAlign w:val="bottom"/>
            <w:hideMark/>
          </w:tcPr>
          <w:p w:rsidR="007A34FE" w:rsidRDefault="007A34FE" w:rsidP="000E63A9">
            <w:pPr>
              <w:spacing w:after="0"/>
              <w:rPr>
                <w:rFonts w:ascii="Times New Roman" w:hAnsi="Times New Roman" w:cs="Times New Roman"/>
                <w:b/>
                <w:sz w:val="20"/>
                <w:szCs w:val="20"/>
              </w:rPr>
            </w:pPr>
            <w:r w:rsidRPr="00FE3A28">
              <w:rPr>
                <w:rFonts w:ascii="Times New Roman" w:hAnsi="Times New Roman" w:cs="Times New Roman"/>
                <w:b/>
                <w:sz w:val="20"/>
                <w:szCs w:val="20"/>
              </w:rPr>
              <w:t>120</w:t>
            </w:r>
          </w:p>
          <w:p w:rsidR="007A34FE" w:rsidRPr="00FE3A28" w:rsidRDefault="007A34FE" w:rsidP="000E63A9">
            <w:pPr>
              <w:spacing w:after="0"/>
              <w:rPr>
                <w:rFonts w:ascii="Times New Roman" w:hAnsi="Times New Roman" w:cs="Times New Roman"/>
                <w:b/>
                <w:sz w:val="20"/>
                <w:szCs w:val="20"/>
              </w:rPr>
            </w:pPr>
          </w:p>
        </w:tc>
      </w:tr>
      <w:tr w:rsidR="007A34FE" w:rsidRPr="00F85FF2" w:rsidTr="000E63A9">
        <w:trPr>
          <w:trHeight w:val="374"/>
        </w:trPr>
        <w:tc>
          <w:tcPr>
            <w:tcW w:w="2684" w:type="dxa"/>
            <w:tcBorders>
              <w:bottom w:val="nil"/>
            </w:tcBorders>
            <w:vAlign w:val="bottom"/>
            <w:hideMark/>
          </w:tcPr>
          <w:p w:rsidR="007A34FE" w:rsidRDefault="007A34FE" w:rsidP="000E63A9">
            <w:pPr>
              <w:spacing w:after="0"/>
              <w:rPr>
                <w:rFonts w:ascii="Times New Roman" w:hAnsi="Times New Roman" w:cs="Times New Roman"/>
                <w:sz w:val="20"/>
                <w:szCs w:val="20"/>
              </w:rPr>
            </w:pPr>
            <w:r w:rsidRPr="00F85FF2">
              <w:rPr>
                <w:rFonts w:ascii="Times New Roman" w:hAnsi="Times New Roman" w:cs="Times New Roman"/>
                <w:sz w:val="20"/>
                <w:szCs w:val="20"/>
              </w:rPr>
              <w:t xml:space="preserve"> Cortisol (ng/mL)</w:t>
            </w:r>
          </w:p>
          <w:p w:rsidR="007A34FE" w:rsidRPr="00F85FF2" w:rsidRDefault="007A34FE" w:rsidP="000E63A9">
            <w:pPr>
              <w:spacing w:after="0"/>
              <w:rPr>
                <w:rFonts w:ascii="Times New Roman" w:hAnsi="Times New Roman" w:cs="Times New Roman"/>
                <w:sz w:val="20"/>
                <w:szCs w:val="20"/>
              </w:rPr>
            </w:pPr>
          </w:p>
        </w:tc>
        <w:tc>
          <w:tcPr>
            <w:tcW w:w="1838" w:type="dxa"/>
            <w:tcBorders>
              <w:bottom w:val="nil"/>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9.9 ± 2.3</w:t>
            </w:r>
            <w:r w:rsidRPr="00F85FF2">
              <w:rPr>
                <w:rFonts w:ascii="Times New Roman" w:hAnsi="Times New Roman" w:cs="Times New Roman"/>
                <w:sz w:val="20"/>
                <w:szCs w:val="20"/>
                <w:vertAlign w:val="superscript"/>
              </w:rPr>
              <w:t>a</w:t>
            </w:r>
          </w:p>
        </w:tc>
        <w:tc>
          <w:tcPr>
            <w:tcW w:w="1554" w:type="dxa"/>
            <w:tcBorders>
              <w:bottom w:val="nil"/>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17.3 ± 8.9</w:t>
            </w:r>
          </w:p>
        </w:tc>
        <w:tc>
          <w:tcPr>
            <w:tcW w:w="2119" w:type="dxa"/>
            <w:tcBorders>
              <w:bottom w:val="nil"/>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25.8 ± 15.7</w:t>
            </w:r>
            <w:r w:rsidRPr="00F85FF2">
              <w:rPr>
                <w:rFonts w:ascii="Times New Roman" w:hAnsi="Times New Roman" w:cs="Times New Roman"/>
                <w:sz w:val="20"/>
                <w:szCs w:val="20"/>
                <w:vertAlign w:val="superscript"/>
              </w:rPr>
              <w:t>a,b</w:t>
            </w:r>
          </w:p>
        </w:tc>
        <w:tc>
          <w:tcPr>
            <w:tcW w:w="2261" w:type="dxa"/>
            <w:tcBorders>
              <w:bottom w:val="nil"/>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8.9 ± 2. 8</w:t>
            </w:r>
            <w:r w:rsidRPr="00F85FF2">
              <w:rPr>
                <w:rFonts w:ascii="Times New Roman" w:hAnsi="Times New Roman" w:cs="Times New Roman"/>
                <w:sz w:val="20"/>
                <w:szCs w:val="20"/>
                <w:vertAlign w:val="superscript"/>
              </w:rPr>
              <w:t>b</w:t>
            </w:r>
          </w:p>
        </w:tc>
      </w:tr>
      <w:tr w:rsidR="007A34FE" w:rsidRPr="00F85FF2" w:rsidTr="000E63A9">
        <w:trPr>
          <w:trHeight w:val="396"/>
        </w:trPr>
        <w:tc>
          <w:tcPr>
            <w:tcW w:w="2684" w:type="dxa"/>
            <w:tcBorders>
              <w:top w:val="nil"/>
              <w:bottom w:val="nil"/>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 xml:space="preserve"> Lactate(mmol/L)</w:t>
            </w:r>
          </w:p>
        </w:tc>
        <w:tc>
          <w:tcPr>
            <w:tcW w:w="1838" w:type="dxa"/>
            <w:tcBorders>
              <w:top w:val="nil"/>
              <w:bottom w:val="nil"/>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2.7 ± 1.1</w:t>
            </w:r>
            <w:r w:rsidRPr="00F85FF2">
              <w:rPr>
                <w:rFonts w:ascii="Times New Roman" w:hAnsi="Times New Roman" w:cs="Times New Roman"/>
                <w:sz w:val="20"/>
                <w:szCs w:val="20"/>
                <w:vertAlign w:val="superscript"/>
              </w:rPr>
              <w:t>a,b,c</w:t>
            </w:r>
          </w:p>
        </w:tc>
        <w:tc>
          <w:tcPr>
            <w:tcW w:w="1554" w:type="dxa"/>
            <w:tcBorders>
              <w:top w:val="nil"/>
              <w:bottom w:val="nil"/>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5.9 ± 0.9</w:t>
            </w:r>
            <w:r w:rsidRPr="00F85FF2">
              <w:rPr>
                <w:rFonts w:ascii="Times New Roman" w:hAnsi="Times New Roman" w:cs="Times New Roman"/>
                <w:sz w:val="20"/>
                <w:szCs w:val="20"/>
                <w:vertAlign w:val="superscript"/>
              </w:rPr>
              <w:t>b</w:t>
            </w:r>
          </w:p>
        </w:tc>
        <w:tc>
          <w:tcPr>
            <w:tcW w:w="2119" w:type="dxa"/>
            <w:tcBorders>
              <w:top w:val="nil"/>
              <w:bottom w:val="nil"/>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5.1 ± 0.2</w:t>
            </w:r>
            <w:r w:rsidRPr="00F85FF2">
              <w:rPr>
                <w:rFonts w:ascii="Times New Roman" w:hAnsi="Times New Roman" w:cs="Times New Roman"/>
                <w:sz w:val="20"/>
                <w:szCs w:val="20"/>
                <w:vertAlign w:val="superscript"/>
              </w:rPr>
              <w:t>c</w:t>
            </w:r>
          </w:p>
        </w:tc>
        <w:tc>
          <w:tcPr>
            <w:tcW w:w="2261" w:type="dxa"/>
            <w:tcBorders>
              <w:top w:val="nil"/>
              <w:bottom w:val="nil"/>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5.3 ± 0.9</w:t>
            </w:r>
            <w:r w:rsidRPr="00F85FF2">
              <w:rPr>
                <w:rFonts w:ascii="Times New Roman" w:hAnsi="Times New Roman" w:cs="Times New Roman"/>
                <w:sz w:val="20"/>
                <w:szCs w:val="20"/>
                <w:vertAlign w:val="superscript"/>
              </w:rPr>
              <w:t>a</w:t>
            </w:r>
          </w:p>
        </w:tc>
      </w:tr>
      <w:tr w:rsidR="007A34FE" w:rsidRPr="00F85FF2" w:rsidTr="000E63A9">
        <w:trPr>
          <w:trHeight w:val="386"/>
        </w:trPr>
        <w:tc>
          <w:tcPr>
            <w:tcW w:w="2684" w:type="dxa"/>
            <w:tcBorders>
              <w:top w:val="nil"/>
              <w:bottom w:val="single" w:sz="4" w:space="0" w:color="auto"/>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 xml:space="preserve"> ROS</w:t>
            </w:r>
          </w:p>
        </w:tc>
        <w:tc>
          <w:tcPr>
            <w:tcW w:w="1838" w:type="dxa"/>
            <w:tcBorders>
              <w:top w:val="nil"/>
              <w:bottom w:val="single" w:sz="4" w:space="0" w:color="auto"/>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1.5 ± 0.7</w:t>
            </w:r>
            <w:r w:rsidRPr="00F85FF2">
              <w:rPr>
                <w:rFonts w:ascii="Times New Roman" w:hAnsi="Times New Roman" w:cs="Times New Roman"/>
                <w:sz w:val="20"/>
                <w:szCs w:val="20"/>
                <w:vertAlign w:val="superscript"/>
              </w:rPr>
              <w:t>a,b</w:t>
            </w:r>
          </w:p>
        </w:tc>
        <w:tc>
          <w:tcPr>
            <w:tcW w:w="1554" w:type="dxa"/>
            <w:tcBorders>
              <w:top w:val="nil"/>
              <w:bottom w:val="single" w:sz="4" w:space="0" w:color="auto"/>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0.8 ± 0.4</w:t>
            </w:r>
            <w:r w:rsidRPr="00F85FF2">
              <w:rPr>
                <w:rFonts w:ascii="Times New Roman" w:hAnsi="Times New Roman" w:cs="Times New Roman"/>
                <w:sz w:val="20"/>
                <w:szCs w:val="20"/>
                <w:vertAlign w:val="superscript"/>
              </w:rPr>
              <w:t>b</w:t>
            </w:r>
          </w:p>
        </w:tc>
        <w:tc>
          <w:tcPr>
            <w:tcW w:w="2119" w:type="dxa"/>
            <w:tcBorders>
              <w:top w:val="nil"/>
              <w:bottom w:val="single" w:sz="4" w:space="0" w:color="auto"/>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1.2 ± 0.2</w:t>
            </w:r>
          </w:p>
        </w:tc>
        <w:tc>
          <w:tcPr>
            <w:tcW w:w="2261" w:type="dxa"/>
            <w:tcBorders>
              <w:top w:val="nil"/>
              <w:bottom w:val="single" w:sz="4" w:space="0" w:color="auto"/>
            </w:tcBorders>
            <w:vAlign w:val="bottom"/>
            <w:hideMark/>
          </w:tcPr>
          <w:p w:rsidR="007A34FE" w:rsidRPr="00F85FF2" w:rsidRDefault="007A34FE" w:rsidP="000E63A9">
            <w:pPr>
              <w:rPr>
                <w:rFonts w:ascii="Times New Roman" w:hAnsi="Times New Roman" w:cs="Times New Roman"/>
                <w:sz w:val="20"/>
                <w:szCs w:val="20"/>
              </w:rPr>
            </w:pPr>
            <w:r w:rsidRPr="00F85FF2">
              <w:rPr>
                <w:rFonts w:ascii="Times New Roman" w:hAnsi="Times New Roman" w:cs="Times New Roman"/>
                <w:sz w:val="20"/>
                <w:szCs w:val="20"/>
              </w:rPr>
              <w:t>0.9 ± 0.4</w:t>
            </w:r>
            <w:r w:rsidRPr="00F85FF2">
              <w:rPr>
                <w:rFonts w:ascii="Times New Roman" w:hAnsi="Times New Roman" w:cs="Times New Roman"/>
                <w:sz w:val="20"/>
                <w:szCs w:val="20"/>
                <w:vertAlign w:val="superscript"/>
              </w:rPr>
              <w:t>a</w:t>
            </w:r>
          </w:p>
        </w:tc>
      </w:tr>
      <w:tr w:rsidR="007A34FE" w:rsidRPr="00F85FF2" w:rsidTr="000E63A9">
        <w:trPr>
          <w:trHeight w:val="386"/>
        </w:trPr>
        <w:tc>
          <w:tcPr>
            <w:tcW w:w="10456" w:type="dxa"/>
            <w:gridSpan w:val="5"/>
            <w:tcBorders>
              <w:top w:val="single" w:sz="4" w:space="0" w:color="auto"/>
              <w:bottom w:val="nil"/>
            </w:tcBorders>
            <w:vAlign w:val="bottom"/>
            <w:hideMark/>
          </w:tcPr>
          <w:p w:rsidR="007A34FE" w:rsidRDefault="00852AB9" w:rsidP="000E63A9">
            <w:pPr>
              <w:spacing w:after="0"/>
              <w:jc w:val="both"/>
              <w:rPr>
                <w:rFonts w:ascii="Times New Roman" w:hAnsi="Times New Roman" w:cs="Times New Roman"/>
                <w:b/>
                <w:sz w:val="20"/>
                <w:szCs w:val="20"/>
              </w:rPr>
            </w:pPr>
            <w:r w:rsidRPr="00864AEB">
              <w:rPr>
                <w:b/>
                <w:sz w:val="20"/>
                <w:szCs w:val="20"/>
              </w:rPr>
              <w:t xml:space="preserve"> </w:t>
            </w:r>
            <w:r w:rsidRPr="00852AB9">
              <w:rPr>
                <w:rFonts w:ascii="Times New Roman" w:hAnsi="Times New Roman" w:cs="Times New Roman"/>
                <w:b/>
                <w:sz w:val="20"/>
                <w:szCs w:val="20"/>
              </w:rPr>
              <w:t>Key: PCV: Packed cell volume, Hb: Hemoglobin, RBC: Red blood cell, WBC: White blood cell</w:t>
            </w:r>
            <w:r>
              <w:rPr>
                <w:rFonts w:ascii="Times New Roman" w:hAnsi="Times New Roman" w:cs="Times New Roman"/>
                <w:b/>
                <w:sz w:val="20"/>
                <w:szCs w:val="20"/>
              </w:rPr>
              <w:t xml:space="preserve">. </w:t>
            </w:r>
            <w:r w:rsidRPr="00F85FF2">
              <w:rPr>
                <w:rFonts w:ascii="Times New Roman" w:hAnsi="Times New Roman" w:cs="Times New Roman"/>
                <w:sz w:val="20"/>
                <w:szCs w:val="20"/>
              </w:rPr>
              <w:t xml:space="preserve"> </w:t>
            </w:r>
            <w:r w:rsidRPr="00852AB9">
              <w:rPr>
                <w:rFonts w:ascii="Times New Roman" w:hAnsi="Times New Roman" w:cs="Times New Roman"/>
                <w:b/>
                <w:sz w:val="20"/>
                <w:szCs w:val="20"/>
              </w:rPr>
              <w:t>There was no statistical significance at (P&lt;0.05)</w:t>
            </w:r>
          </w:p>
          <w:p w:rsidR="000E63A9" w:rsidRPr="007A34FE" w:rsidRDefault="000E63A9" w:rsidP="000E63A9">
            <w:pPr>
              <w:spacing w:after="0"/>
              <w:jc w:val="both"/>
              <w:rPr>
                <w:rFonts w:ascii="Times New Roman" w:hAnsi="Times New Roman" w:cs="Times New Roman"/>
                <w:b/>
                <w:sz w:val="20"/>
                <w:szCs w:val="20"/>
              </w:rPr>
            </w:pPr>
          </w:p>
        </w:tc>
      </w:tr>
    </w:tbl>
    <w:p w:rsidR="00E95475" w:rsidRDefault="00E95475" w:rsidP="00E95475">
      <w:pPr>
        <w:spacing w:after="0" w:line="240" w:lineRule="auto"/>
        <w:jc w:val="both"/>
        <w:rPr>
          <w:rFonts w:ascii="Times New Roman" w:hAnsi="Times New Roman" w:cs="Times New Roman"/>
          <w:b/>
          <w:sz w:val="20"/>
          <w:szCs w:val="20"/>
        </w:rPr>
      </w:pPr>
      <w:r w:rsidRPr="00E95475">
        <w:rPr>
          <w:rFonts w:ascii="Times New Roman" w:hAnsi="Times New Roman" w:cs="Times New Roman"/>
          <w:b/>
          <w:sz w:val="20"/>
          <w:szCs w:val="20"/>
        </w:rPr>
        <w:t>HEMATOLOGICAL PARAMETERS</w:t>
      </w:r>
    </w:p>
    <w:p w:rsidR="00F85FF2" w:rsidRPr="00F85FF2" w:rsidRDefault="00F85FF2" w:rsidP="00E95475">
      <w:pPr>
        <w:spacing w:after="0" w:line="240" w:lineRule="auto"/>
        <w:jc w:val="both"/>
        <w:rPr>
          <w:rFonts w:ascii="Times New Roman" w:hAnsi="Times New Roman" w:cs="Times New Roman"/>
          <w:sz w:val="20"/>
          <w:szCs w:val="20"/>
        </w:rPr>
      </w:pPr>
      <w:r w:rsidRPr="00F85FF2">
        <w:rPr>
          <w:rFonts w:ascii="Times New Roman" w:hAnsi="Times New Roman" w:cs="Times New Roman"/>
          <w:sz w:val="20"/>
          <w:szCs w:val="20"/>
        </w:rPr>
        <w:t>Although, the RBC, PCV and Hb parameters showed no statistical significance downward the trends from the baseline through to 120 hours, however, WBC showed mild decreased 13.1 ± 4.1 x 10</w:t>
      </w:r>
      <w:r w:rsidRPr="00F85FF2">
        <w:rPr>
          <w:rFonts w:ascii="Times New Roman" w:hAnsi="Times New Roman" w:cs="Times New Roman"/>
          <w:sz w:val="20"/>
          <w:szCs w:val="20"/>
          <w:vertAlign w:val="superscript"/>
        </w:rPr>
        <w:t>3</w:t>
      </w:r>
      <w:r w:rsidRPr="00F85FF2">
        <w:rPr>
          <w:rFonts w:ascii="Times New Roman" w:hAnsi="Times New Roman" w:cs="Times New Roman"/>
          <w:sz w:val="20"/>
          <w:szCs w:val="20"/>
        </w:rPr>
        <w:t xml:space="preserve">/µL at 24 hours but increased </w:t>
      </w:r>
      <w:r w:rsidRPr="00F85FF2">
        <w:rPr>
          <w:rFonts w:ascii="Times New Roman" w:hAnsi="Times New Roman" w:cs="Times New Roman"/>
          <w:sz w:val="20"/>
          <w:szCs w:val="20"/>
        </w:rPr>
        <w:lastRenderedPageBreak/>
        <w:t>progressively, even though these changes were not statistically significant.</w:t>
      </w:r>
    </w:p>
    <w:p w:rsidR="00E95475" w:rsidRDefault="00E95475" w:rsidP="00666E79">
      <w:pPr>
        <w:spacing w:after="0"/>
        <w:jc w:val="both"/>
        <w:rPr>
          <w:rFonts w:ascii="Times New Roman" w:hAnsi="Times New Roman" w:cs="Times New Roman"/>
          <w:b/>
          <w:bCs/>
          <w:sz w:val="20"/>
          <w:szCs w:val="20"/>
        </w:rPr>
      </w:pPr>
    </w:p>
    <w:p w:rsidR="00F85FF2" w:rsidRPr="00F85FF2" w:rsidRDefault="00666E79" w:rsidP="00666E79">
      <w:pPr>
        <w:spacing w:after="0"/>
        <w:jc w:val="both"/>
        <w:rPr>
          <w:rFonts w:ascii="Times New Roman" w:hAnsi="Times New Roman" w:cs="Times New Roman"/>
          <w:b/>
          <w:bCs/>
          <w:sz w:val="20"/>
          <w:szCs w:val="20"/>
        </w:rPr>
      </w:pPr>
      <w:r w:rsidRPr="00F85FF2">
        <w:rPr>
          <w:rFonts w:ascii="Times New Roman" w:hAnsi="Times New Roman" w:cs="Times New Roman"/>
          <w:b/>
          <w:bCs/>
          <w:sz w:val="20"/>
          <w:szCs w:val="20"/>
        </w:rPr>
        <w:t>DISCUSSION</w:t>
      </w:r>
    </w:p>
    <w:p w:rsidR="00F85FF2" w:rsidRPr="00F85FF2" w:rsidRDefault="00F85FF2" w:rsidP="00666E79">
      <w:pPr>
        <w:spacing w:after="0"/>
        <w:jc w:val="both"/>
        <w:rPr>
          <w:rFonts w:ascii="Times New Roman" w:hAnsi="Times New Roman" w:cs="Times New Roman"/>
          <w:sz w:val="20"/>
          <w:szCs w:val="20"/>
        </w:rPr>
      </w:pPr>
      <w:r w:rsidRPr="00F85FF2">
        <w:rPr>
          <w:rFonts w:ascii="Times New Roman" w:hAnsi="Times New Roman" w:cs="Times New Roman"/>
          <w:sz w:val="20"/>
          <w:szCs w:val="20"/>
        </w:rPr>
        <w:t>This study compared the pre-emptive analgesic effect of diclofenac administration pre-dehorning and post-dehorning repeated intramuscular diclofenac administration on hematological and biochemical stress markers in West African Dwarf (WAD) goats following surgical dehorning model. The results demonstrated significant temporal fluctuations in cortisol, lactate, and reactive oxygen species (ROS) levels, alongside non-significant but clinically notable changes in some erythrocytes indices and leucocyte count.</w:t>
      </w:r>
    </w:p>
    <w:p w:rsidR="00666E79" w:rsidRDefault="00F85FF2" w:rsidP="00666E79">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Cortisol Response: The significant rise in cortisol concentration at 72 hours post-dehorning suggests a pronounced activation of the hypothalamic–pituitary–adrenal (HPA) axis, followed by a resolution toward baseline thereafter, returning to baseline at 120 hours. </w:t>
      </w:r>
    </w:p>
    <w:p w:rsidR="003A4F70" w:rsidRDefault="00F85FF2" w:rsidP="000E63A9">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This aligns with the expected activation and subsequent resolution of hypothalamic–pituitary–adrenal (HPA) axis activity in response to nociceptive and inflammatory stimuli corroborating Kongara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xml:space="preserve"> (2023) who in another study also reported release of high concentrations of cortisol into circulation in response to pain. </w:t>
      </w:r>
    </w:p>
    <w:p w:rsidR="00F85FF2" w:rsidRPr="00F85FF2" w:rsidRDefault="00F85FF2" w:rsidP="003A4F70">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Similar biphasic cortisol profiles have been documented in goats undergoing horn removal, with peak levels occurring within 24–72 hours depending on analgesic regimen (Adeyemi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xml:space="preserve">., 2019). Diclofenac partial attenuation of cortisol rise in this study suggests effective reduction of peripheral prostaglandin-mediated pain as behavioural changes such as bleating, head shaking, and rubbing were not seen in the animals, although this is subjective as central pain pathways were not studied as evaluated in the study of Olatunji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(2020).</w:t>
      </w:r>
    </w:p>
    <w:p w:rsidR="00F85FF2" w:rsidRPr="00F85FF2" w:rsidRDefault="00F85FF2" w:rsidP="003A4F70">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Lactate Trends: The sustained elevation of lactate from 24 to 72 hours post-procedure indicates persistent anaerobic metabolism, likely due to localized hypoperfusion at the surgical site and systemic metabolic demands of tissue repair as reported in another study by Hassan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xml:space="preserve">. (2022). Comparable findings in caprine surgical models suggest that prolonged lactatemia reflects both inflammatory hypermetabolism and possible vasoconstrictive effects of COX inhibition on microcirculatory flow (Garba &amp; Musa, 2018). Notably lactate concentration showed slight reduction at 120 hours. This progressive decline suggests a partial relief of stress, potentially facilitated by the anti-inflammatory effects of diclofenac. Similar trends were observed in another study (Tekeli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2024), who documented decreased lactate levels in animals administered NSAIDs after surgery.</w:t>
      </w:r>
    </w:p>
    <w:p w:rsidR="00F85FF2" w:rsidRPr="00F85FF2" w:rsidRDefault="00F85FF2" w:rsidP="003A4F70">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The significant reduction in ROS levels at 24 and 120 hours concur with the oxidative stress surges typically observed post-surgery in another study by Ibrahim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xml:space="preserve">. (2019). </w:t>
      </w:r>
      <w:r w:rsidRPr="00F85FF2">
        <w:rPr>
          <w:rFonts w:ascii="Times New Roman" w:hAnsi="Times New Roman" w:cs="Times New Roman"/>
          <w:sz w:val="20"/>
          <w:szCs w:val="20"/>
        </w:rPr>
        <w:lastRenderedPageBreak/>
        <w:t>Diclofenac has been reported to exert secondary antioxidant effects by down</w:t>
      </w:r>
      <w:r w:rsidR="00315B39">
        <w:rPr>
          <w:rFonts w:ascii="Times New Roman" w:hAnsi="Times New Roman" w:cs="Times New Roman"/>
          <w:sz w:val="20"/>
          <w:szCs w:val="20"/>
        </w:rPr>
        <w:t xml:space="preserve"> </w:t>
      </w:r>
      <w:r w:rsidRPr="00F85FF2">
        <w:rPr>
          <w:rFonts w:ascii="Times New Roman" w:hAnsi="Times New Roman" w:cs="Times New Roman"/>
          <w:sz w:val="20"/>
          <w:szCs w:val="20"/>
        </w:rPr>
        <w:t xml:space="preserve">regulating leucocyte activity and limiting lipid peroxidation, Chikezie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xml:space="preserve">. (2020). In the present study, this modulation may have contributed to a more </w:t>
      </w:r>
      <w:r w:rsidR="00315B39" w:rsidRPr="00F85FF2">
        <w:rPr>
          <w:rFonts w:ascii="Times New Roman" w:hAnsi="Times New Roman" w:cs="Times New Roman"/>
          <w:sz w:val="20"/>
          <w:szCs w:val="20"/>
        </w:rPr>
        <w:t>favourable</w:t>
      </w:r>
      <w:r w:rsidRPr="00F85FF2">
        <w:rPr>
          <w:rFonts w:ascii="Times New Roman" w:hAnsi="Times New Roman" w:cs="Times New Roman"/>
          <w:sz w:val="20"/>
          <w:szCs w:val="20"/>
        </w:rPr>
        <w:t xml:space="preserve"> oxidative balance during the recovery phase, potentially supporting tissue healing. </w:t>
      </w:r>
    </w:p>
    <w:p w:rsidR="00F85FF2" w:rsidRPr="00F85FF2" w:rsidRDefault="00F85FF2" w:rsidP="003A4F70">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Although changes in RBC, PCV, and Hb was not statistically significance, the values obtained fell below our referenced interval for caprine species 8–18 × 10⁶/µL, 22–38% and 8-12 g/dL respectively (Fielder, 2022). This downward trend observed could be suggestive of a possible mild, subclinical anaemia in the control sample and a confounding factor attributable to the blood loss during repeated sample collection and surgical dehorning or physiological fluid shifts as corroborated in another study (Okafor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2021). WBC counts increased slightly, consistent with a moderate inflammatory response, but remained within the physiological range referenced, this is suggesting that diclofenac may have blunted more pronounced leukocytosis but did not suppress the immune function of these goats</w:t>
      </w:r>
      <w:r w:rsidR="003A4F70">
        <w:rPr>
          <w:rFonts w:ascii="Times New Roman" w:hAnsi="Times New Roman" w:cs="Times New Roman"/>
          <w:sz w:val="20"/>
          <w:szCs w:val="20"/>
        </w:rPr>
        <w:t>.</w:t>
      </w:r>
    </w:p>
    <w:p w:rsidR="00F85FF2" w:rsidRPr="00F85FF2" w:rsidRDefault="00F85FF2" w:rsidP="003A4F70">
      <w:pPr>
        <w:spacing w:after="0"/>
        <w:jc w:val="both"/>
        <w:rPr>
          <w:rFonts w:ascii="Times New Roman" w:hAnsi="Times New Roman" w:cs="Times New Roman"/>
          <w:sz w:val="20"/>
          <w:szCs w:val="20"/>
        </w:rPr>
      </w:pPr>
      <w:r w:rsidRPr="00F85FF2">
        <w:rPr>
          <w:rFonts w:ascii="Times New Roman" w:hAnsi="Times New Roman" w:cs="Times New Roman"/>
          <w:sz w:val="20"/>
          <w:szCs w:val="20"/>
        </w:rPr>
        <w:t>The haemato-biochemical parameters from this study confirm a typical acute stress profile following surgical dehorning of WAD goat, with cortisol and lactate elevations reflecting neuroendocrine and metabolic responses to nociceptive and inflammatory stimuli. The ROS reduction may indicate transient oxidative stress modulation during early recovery phase. Haematological shifts, while not statistically significant, could be clinically relevant in animals with pre-existing anaemia or in other surgical procedures with greater tendencies of blood loss or a study design requiring repeated blood collection.</w:t>
      </w:r>
    </w:p>
    <w:p w:rsidR="00F85FF2" w:rsidRPr="00F85FF2" w:rsidRDefault="00F85FF2" w:rsidP="003A4F70">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These findings reinforce the value of pre-emptive NSAID administration in improving animal welfare during routine invasive husbandry practices. Diclofenac low cost, ease of administration, and extended dosing intervals make it a practical option for pain management in smallholder goat production systems. However, given its incomplete suppression of cortisol, combining diclofenac with other centrally acting analgesics such as Flunixin Meglumine, Tramadol etc. may further optimize welfare outcomes without compromising field feasibility (Bello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2023).</w:t>
      </w:r>
    </w:p>
    <w:p w:rsidR="00F85FF2" w:rsidRDefault="00F85FF2" w:rsidP="003A4F70">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The results of this study underscore the critical role of pre-emptive analgesia in mitigating the physiological stress and inflammatory burden associated with surgical dehorning in WAD goats. This is further supported by the fact that the American Veterinary Medical Association (AVMA) also recommends pre-emptive analgesia and postoperative administration of pain relieve drugs for dehorning (Adam </w:t>
      </w:r>
      <w:r w:rsidRPr="00F85FF2">
        <w:rPr>
          <w:rFonts w:ascii="Times New Roman" w:hAnsi="Times New Roman" w:cs="Times New Roman"/>
          <w:i/>
          <w:iCs/>
          <w:sz w:val="20"/>
          <w:szCs w:val="20"/>
        </w:rPr>
        <w:t>et al</w:t>
      </w:r>
      <w:r w:rsidRPr="00F85FF2">
        <w:rPr>
          <w:rFonts w:ascii="Times New Roman" w:hAnsi="Times New Roman" w:cs="Times New Roman"/>
          <w:sz w:val="20"/>
          <w:szCs w:val="20"/>
        </w:rPr>
        <w:t xml:space="preserve">., 2021). Diclofenac administered intramuscularly at 3 mg/kg prior to dehorning and repeated at 24, 72, and 120 hours, effectively modulated oxidative stress and reduced </w:t>
      </w:r>
      <w:r w:rsidRPr="00F85FF2">
        <w:rPr>
          <w:rFonts w:ascii="Times New Roman" w:hAnsi="Times New Roman" w:cs="Times New Roman"/>
          <w:sz w:val="20"/>
          <w:szCs w:val="20"/>
        </w:rPr>
        <w:lastRenderedPageBreak/>
        <w:t xml:space="preserve">inflammatory markers, even though cortisol suppression was incomplete. </w:t>
      </w:r>
    </w:p>
    <w:p w:rsidR="003A4F70" w:rsidRPr="00F85FF2" w:rsidRDefault="003A4F70" w:rsidP="003A4F70">
      <w:pPr>
        <w:spacing w:after="0"/>
        <w:jc w:val="both"/>
        <w:rPr>
          <w:rFonts w:ascii="Times New Roman" w:hAnsi="Times New Roman" w:cs="Times New Roman"/>
          <w:sz w:val="20"/>
          <w:szCs w:val="20"/>
        </w:rPr>
      </w:pPr>
    </w:p>
    <w:p w:rsidR="00F85FF2" w:rsidRPr="00F85FF2" w:rsidRDefault="003A4F70" w:rsidP="003A4F70">
      <w:pPr>
        <w:spacing w:after="0"/>
        <w:jc w:val="both"/>
        <w:rPr>
          <w:rFonts w:ascii="Times New Roman" w:hAnsi="Times New Roman" w:cs="Times New Roman"/>
          <w:b/>
          <w:bCs/>
          <w:sz w:val="20"/>
          <w:szCs w:val="20"/>
        </w:rPr>
      </w:pPr>
      <w:r w:rsidRPr="00F85FF2">
        <w:rPr>
          <w:rFonts w:ascii="Times New Roman" w:hAnsi="Times New Roman" w:cs="Times New Roman"/>
          <w:b/>
          <w:bCs/>
          <w:sz w:val="20"/>
          <w:szCs w:val="20"/>
        </w:rPr>
        <w:t>CONCLUSIONS</w:t>
      </w:r>
    </w:p>
    <w:p w:rsidR="00CB1B3D" w:rsidRDefault="00F85FF2" w:rsidP="003A4F70">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The findings provide meaningful insights into the physiological changes that accompany surgical stress and the effectiveness of non-steroidal anti-inflammatory drugs (NSAIDs) in pain mitigation. The results showed that dehorning induces measurable stress responses, as evidenced by haematological changes in red blood cell (RBC) counts, haemoglobin levels, and packed cell volume (PCV), though not statistically significant but clinically vital. </w:t>
      </w:r>
    </w:p>
    <w:p w:rsidR="00F85FF2" w:rsidRDefault="00F85FF2" w:rsidP="003A4F70">
      <w:pPr>
        <w:spacing w:after="0"/>
        <w:jc w:val="both"/>
        <w:rPr>
          <w:rFonts w:ascii="Times New Roman" w:hAnsi="Times New Roman" w:cs="Times New Roman"/>
          <w:sz w:val="20"/>
          <w:szCs w:val="20"/>
        </w:rPr>
      </w:pPr>
      <w:r w:rsidRPr="00F85FF2">
        <w:rPr>
          <w:rFonts w:ascii="Times New Roman" w:hAnsi="Times New Roman" w:cs="Times New Roman"/>
          <w:sz w:val="20"/>
          <w:szCs w:val="20"/>
        </w:rPr>
        <w:t>The elevation of white blood cells (WBC) further confirmed an ongoing stress response, while alterations in cortisol, lactate and reactive oxygen species (ROS) levels observed indicate acute stress reflected by the goats during recovery state as observed that diclofenac attenuated some of these physiological stress indicators at the last hour of our study suggesting that the repeated diclofenac administration contributed to improved physiological recovery and reduced discomfort in the WAD goats despite diclofenac dosing interval in this study.</w:t>
      </w:r>
    </w:p>
    <w:p w:rsidR="00F85FF2" w:rsidRPr="00F85FF2" w:rsidRDefault="00F85FF2" w:rsidP="00F85FF2">
      <w:pPr>
        <w:jc w:val="both"/>
        <w:rPr>
          <w:rFonts w:ascii="Times New Roman" w:hAnsi="Times New Roman" w:cs="Times New Roman"/>
          <w:sz w:val="20"/>
          <w:szCs w:val="20"/>
        </w:rPr>
      </w:pPr>
      <w:r w:rsidRPr="00F85FF2">
        <w:rPr>
          <w:rFonts w:ascii="Times New Roman" w:hAnsi="Times New Roman" w:cs="Times New Roman"/>
          <w:sz w:val="20"/>
          <w:szCs w:val="20"/>
        </w:rPr>
        <w:t>In conclusion, diclofenac demonstrated a beneficial role in managing pain and physiological stress with emphasis on the importance of pre-emptive analgesia in surgical procedures involving small ruminants. Based on these findings of this study, we recommend that pre-emptive analgesic administration be integrated as standard veterinary anaesthetic protocol in dehorning procedures to promote animal welfare and recovery in WAD goat post-surgery or management of intra-surgical stress through total intravenous anaesthesia (TIVA), with dosing intervals tailored to the drug’s pharmacokinetics. This standardization has the potential to improve animal welfare, enhance recovery outcomes, and align husbandry practices with modern veterinary pain management principles.</w:t>
      </w:r>
    </w:p>
    <w:p w:rsidR="00F85FF2" w:rsidRPr="00F85FF2" w:rsidRDefault="003A4F70" w:rsidP="003A4F70">
      <w:pPr>
        <w:spacing w:after="0"/>
        <w:jc w:val="both"/>
        <w:rPr>
          <w:rFonts w:ascii="Times New Roman" w:hAnsi="Times New Roman" w:cs="Times New Roman"/>
          <w:sz w:val="20"/>
          <w:szCs w:val="20"/>
        </w:rPr>
      </w:pPr>
      <w:r w:rsidRPr="00F85FF2">
        <w:rPr>
          <w:rFonts w:ascii="Times New Roman" w:hAnsi="Times New Roman" w:cs="Times New Roman"/>
          <w:b/>
          <w:bCs/>
          <w:sz w:val="20"/>
          <w:szCs w:val="20"/>
        </w:rPr>
        <w:t>LIMITATIONS AND FUTURE DIRECTIONS</w:t>
      </w:r>
    </w:p>
    <w:p w:rsidR="00F85FF2" w:rsidRDefault="00F85FF2" w:rsidP="003A4F70">
      <w:pPr>
        <w:spacing w:after="0"/>
        <w:jc w:val="both"/>
        <w:rPr>
          <w:rFonts w:ascii="Times New Roman" w:hAnsi="Times New Roman" w:cs="Times New Roman"/>
          <w:sz w:val="20"/>
          <w:szCs w:val="20"/>
        </w:rPr>
      </w:pPr>
      <w:r w:rsidRPr="00F85FF2">
        <w:rPr>
          <w:rFonts w:ascii="Times New Roman" w:hAnsi="Times New Roman" w:cs="Times New Roman"/>
          <w:sz w:val="20"/>
          <w:szCs w:val="20"/>
        </w:rPr>
        <w:t>The main limitation of this study is the small sample size (n = 5), which reduces statistical power and the generalizability of findings. Additionally, repeated handling for blood collection may have introduced a confounding stress component, potentially influencing cortisol measurements. Future research should incorporate larger cohorts, extended post-operative monitoring, evaluate WBC differentials and comparative trials of multimodal analgesic protocols to determine the optimal combination for stress and inflammation control in small ruminants.</w:t>
      </w:r>
    </w:p>
    <w:p w:rsidR="000E63A9" w:rsidRDefault="000E63A9" w:rsidP="003A4F70">
      <w:pPr>
        <w:spacing w:after="0"/>
        <w:jc w:val="both"/>
        <w:rPr>
          <w:rFonts w:ascii="Times New Roman" w:hAnsi="Times New Roman" w:cs="Times New Roman"/>
          <w:sz w:val="20"/>
          <w:szCs w:val="20"/>
        </w:rPr>
      </w:pPr>
    </w:p>
    <w:p w:rsidR="003A4F70" w:rsidRDefault="003A4F70" w:rsidP="003A4F70">
      <w:pPr>
        <w:spacing w:after="0"/>
        <w:jc w:val="both"/>
        <w:rPr>
          <w:rFonts w:ascii="Times New Roman" w:hAnsi="Times New Roman" w:cs="Times New Roman"/>
          <w:b/>
          <w:bCs/>
          <w:sz w:val="20"/>
          <w:szCs w:val="20"/>
        </w:rPr>
      </w:pPr>
      <w:r w:rsidRPr="00F85FF2">
        <w:rPr>
          <w:rFonts w:ascii="Times New Roman" w:hAnsi="Times New Roman" w:cs="Times New Roman"/>
          <w:b/>
          <w:bCs/>
          <w:sz w:val="20"/>
          <w:szCs w:val="20"/>
        </w:rPr>
        <w:t>ACKNOWLEDGMENTS</w:t>
      </w:r>
    </w:p>
    <w:p w:rsidR="00F85FF2" w:rsidRDefault="00F85FF2" w:rsidP="003A4F70">
      <w:pPr>
        <w:spacing w:after="0"/>
        <w:jc w:val="both"/>
        <w:rPr>
          <w:rFonts w:ascii="Times New Roman" w:hAnsi="Times New Roman" w:cs="Times New Roman"/>
          <w:sz w:val="20"/>
          <w:szCs w:val="20"/>
        </w:rPr>
      </w:pPr>
      <w:r w:rsidRPr="00F85FF2">
        <w:rPr>
          <w:rFonts w:ascii="Times New Roman" w:hAnsi="Times New Roman" w:cs="Times New Roman"/>
          <w:sz w:val="20"/>
          <w:szCs w:val="20"/>
        </w:rPr>
        <w:t xml:space="preserve">We acknowledge the support given by the Director of the Veterinary Teaching Hospital, University of Ilorin Prof. I. A. Adisa, for giving us access to small ruminant pens for our </w:t>
      </w:r>
      <w:r w:rsidRPr="00F85FF2">
        <w:rPr>
          <w:rFonts w:ascii="Times New Roman" w:hAnsi="Times New Roman" w:cs="Times New Roman"/>
          <w:sz w:val="20"/>
          <w:szCs w:val="20"/>
        </w:rPr>
        <w:lastRenderedPageBreak/>
        <w:t>study. We also acknowledge the support given by the staff and clinical students of the Faculty of Veterinary Medicine during this work.</w:t>
      </w:r>
    </w:p>
    <w:p w:rsidR="003A4F70" w:rsidRPr="00F85FF2" w:rsidRDefault="003A4F70" w:rsidP="003A4F70">
      <w:pPr>
        <w:spacing w:after="0"/>
        <w:jc w:val="both"/>
        <w:rPr>
          <w:rFonts w:ascii="Times New Roman" w:hAnsi="Times New Roman" w:cs="Times New Roman"/>
          <w:sz w:val="20"/>
          <w:szCs w:val="20"/>
        </w:rPr>
      </w:pPr>
    </w:p>
    <w:p w:rsidR="00F85FF2" w:rsidRPr="00F85FF2" w:rsidRDefault="003A4F70" w:rsidP="00F85FF2">
      <w:pPr>
        <w:jc w:val="both"/>
        <w:rPr>
          <w:rFonts w:ascii="Times New Roman" w:hAnsi="Times New Roman" w:cs="Times New Roman"/>
          <w:sz w:val="20"/>
          <w:szCs w:val="20"/>
        </w:rPr>
      </w:pPr>
      <w:r w:rsidRPr="00F85FF2">
        <w:rPr>
          <w:rFonts w:ascii="Times New Roman" w:hAnsi="Times New Roman" w:cs="Times New Roman"/>
          <w:b/>
          <w:bCs/>
          <w:sz w:val="20"/>
          <w:szCs w:val="20"/>
        </w:rPr>
        <w:t>CONFLICTS OF INTEREST</w:t>
      </w:r>
      <w:r w:rsidR="00F85FF2" w:rsidRPr="00F85FF2">
        <w:rPr>
          <w:rFonts w:ascii="Times New Roman" w:hAnsi="Times New Roman" w:cs="Times New Roman"/>
          <w:b/>
          <w:bCs/>
          <w:sz w:val="20"/>
          <w:szCs w:val="20"/>
        </w:rPr>
        <w:t>:</w:t>
      </w:r>
      <w:r w:rsidR="00F85FF2" w:rsidRPr="00F85FF2">
        <w:rPr>
          <w:rFonts w:ascii="Times New Roman" w:hAnsi="Times New Roman" w:cs="Times New Roman"/>
          <w:sz w:val="20"/>
          <w:szCs w:val="20"/>
        </w:rPr>
        <w:t xml:space="preserve"> The authors declare no conflict of interest.</w:t>
      </w:r>
    </w:p>
    <w:p w:rsidR="00F85FF2" w:rsidRPr="00F85FF2" w:rsidRDefault="003A4F70" w:rsidP="00F85FF2">
      <w:pPr>
        <w:jc w:val="both"/>
        <w:rPr>
          <w:rFonts w:ascii="Times New Roman" w:hAnsi="Times New Roman" w:cs="Times New Roman"/>
          <w:sz w:val="20"/>
          <w:szCs w:val="20"/>
        </w:rPr>
      </w:pPr>
      <w:r w:rsidRPr="00F85FF2">
        <w:rPr>
          <w:rFonts w:ascii="Times New Roman" w:hAnsi="Times New Roman" w:cs="Times New Roman"/>
          <w:b/>
          <w:bCs/>
          <w:sz w:val="20"/>
          <w:szCs w:val="20"/>
        </w:rPr>
        <w:t>FUNDING:</w:t>
      </w:r>
      <w:r w:rsidRPr="00F85FF2">
        <w:rPr>
          <w:rFonts w:ascii="Times New Roman" w:hAnsi="Times New Roman" w:cs="Times New Roman"/>
          <w:sz w:val="20"/>
          <w:szCs w:val="20"/>
        </w:rPr>
        <w:t xml:space="preserve"> </w:t>
      </w:r>
      <w:r w:rsidR="00F85FF2" w:rsidRPr="00F85FF2">
        <w:rPr>
          <w:rFonts w:ascii="Times New Roman" w:hAnsi="Times New Roman" w:cs="Times New Roman"/>
          <w:sz w:val="20"/>
          <w:szCs w:val="20"/>
        </w:rPr>
        <w:t>This research received no external funding</w:t>
      </w:r>
    </w:p>
    <w:p w:rsidR="00F85FF2" w:rsidRPr="00F85FF2" w:rsidRDefault="00F85FF2" w:rsidP="00F85FF2">
      <w:pPr>
        <w:jc w:val="both"/>
        <w:rPr>
          <w:rFonts w:ascii="Times New Roman" w:hAnsi="Times New Roman" w:cs="Times New Roman"/>
          <w:b/>
          <w:bCs/>
          <w:sz w:val="20"/>
          <w:szCs w:val="20"/>
        </w:rPr>
      </w:pPr>
      <w:r w:rsidRPr="00F85FF2">
        <w:rPr>
          <w:rFonts w:ascii="Times New Roman" w:hAnsi="Times New Roman" w:cs="Times New Roman"/>
          <w:b/>
          <w:bCs/>
          <w:sz w:val="20"/>
          <w:szCs w:val="20"/>
        </w:rPr>
        <w:t>REF</w:t>
      </w:r>
      <w:bookmarkStart w:id="0" w:name="_GoBack"/>
      <w:bookmarkEnd w:id="0"/>
      <w:r w:rsidRPr="00F85FF2">
        <w:rPr>
          <w:rFonts w:ascii="Times New Roman" w:hAnsi="Times New Roman" w:cs="Times New Roman"/>
          <w:b/>
          <w:bCs/>
          <w:sz w:val="20"/>
          <w:szCs w:val="20"/>
        </w:rPr>
        <w:t>ERENCES</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Adam, M., Salla, K., Aho, R., Hänninen, L., Taponen, S., Norring, M., Raekallio, M. &amp; Hokkanen, A.H. (2021). A comparison of sedative effects of xylazine alone or combined with levomethadone or ketamine in calves prior to disbudding. </w:t>
      </w:r>
      <w:r w:rsidRPr="00F85FF2">
        <w:rPr>
          <w:rFonts w:ascii="Times New Roman" w:hAnsi="Times New Roman" w:cs="Times New Roman"/>
          <w:i/>
          <w:iCs/>
          <w:sz w:val="20"/>
          <w:szCs w:val="20"/>
        </w:rPr>
        <w:t>Veterinary Anaesthesia and Analgesia</w:t>
      </w:r>
      <w:r w:rsidRPr="00F85FF2">
        <w:rPr>
          <w:rFonts w:ascii="Times New Roman" w:hAnsi="Times New Roman" w:cs="Times New Roman"/>
          <w:sz w:val="20"/>
          <w:szCs w:val="20"/>
        </w:rPr>
        <w:t>, 48(6), 906–913.</w:t>
      </w:r>
    </w:p>
    <w:p w:rsidR="00F85FF2" w:rsidRPr="00F85FF2" w:rsidRDefault="00F85FF2" w:rsidP="00F85FF2">
      <w:pPr>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 Adeyemi, T.O., Okonkwo, I.O. &amp; Lawal, A.I. (2019). Physiological stress indicators in goats following horn removal under varying analgesic regimens. </w:t>
      </w:r>
      <w:r w:rsidRPr="00F85FF2">
        <w:rPr>
          <w:rFonts w:ascii="Times New Roman" w:hAnsi="Times New Roman" w:cs="Times New Roman"/>
          <w:i/>
          <w:iCs/>
          <w:sz w:val="20"/>
          <w:szCs w:val="20"/>
        </w:rPr>
        <w:t>Nigerian Veterinary Journal</w:t>
      </w:r>
      <w:r w:rsidRPr="00F85FF2">
        <w:rPr>
          <w:rFonts w:ascii="Times New Roman" w:hAnsi="Times New Roman" w:cs="Times New Roman"/>
          <w:sz w:val="20"/>
          <w:szCs w:val="20"/>
        </w:rPr>
        <w:t xml:space="preserve">, 40(3), 112–120. </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Bello, M.B., Ibrahim, A.M. &amp; Abdullahi, H.A. (2023). Improving animal welfare in small ruminants: Practical approaches for resource-limited farmers. </w:t>
      </w:r>
      <w:r w:rsidRPr="00F85FF2">
        <w:rPr>
          <w:rFonts w:ascii="Times New Roman" w:hAnsi="Times New Roman" w:cs="Times New Roman"/>
          <w:i/>
          <w:iCs/>
          <w:sz w:val="20"/>
          <w:szCs w:val="20"/>
        </w:rPr>
        <w:t>Tropical Animal Health and Production</w:t>
      </w:r>
      <w:r w:rsidRPr="00F85FF2">
        <w:rPr>
          <w:rFonts w:ascii="Times New Roman" w:hAnsi="Times New Roman" w:cs="Times New Roman"/>
          <w:sz w:val="20"/>
          <w:szCs w:val="20"/>
        </w:rPr>
        <w:t xml:space="preserve">, 55(4), 221. </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Buhari, S., Amaje, J., Bello, Z.M., Ahmad, S., Abubakar, N., Bodinga., H.A. &amp; Sani, M.I. (2020). Postoperative Analgesic Efficacy of Tramadol and Diclofenac Sodium in Goats. </w:t>
      </w:r>
      <w:r w:rsidRPr="00F85FF2">
        <w:rPr>
          <w:rFonts w:ascii="Times New Roman" w:hAnsi="Times New Roman" w:cs="Times New Roman"/>
          <w:i/>
          <w:iCs/>
          <w:sz w:val="20"/>
          <w:szCs w:val="20"/>
        </w:rPr>
        <w:t>Sahel Journal of Veterinary Sciences</w:t>
      </w:r>
      <w:r w:rsidRPr="00F85FF2">
        <w:rPr>
          <w:rFonts w:ascii="Times New Roman" w:hAnsi="Times New Roman" w:cs="Times New Roman"/>
          <w:sz w:val="20"/>
          <w:szCs w:val="20"/>
        </w:rPr>
        <w:t xml:space="preserve">, 17(3), 22–27. </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Chikezie, P.C., Onunkwo, A.U. &amp;Okereke, S.C. (2020). Non-steroidal anti-inflammatory drugs and oxidative stress: Pharmacological perspectives. </w:t>
      </w:r>
      <w:r w:rsidRPr="00F85FF2">
        <w:rPr>
          <w:rFonts w:ascii="Times New Roman" w:hAnsi="Times New Roman" w:cs="Times New Roman"/>
          <w:i/>
          <w:iCs/>
          <w:sz w:val="20"/>
          <w:szCs w:val="20"/>
        </w:rPr>
        <w:t>Journal of Veterinary Pharmacology and Therapeutics</w:t>
      </w:r>
      <w:r w:rsidRPr="00F85FF2">
        <w:rPr>
          <w:rFonts w:ascii="Times New Roman" w:hAnsi="Times New Roman" w:cs="Times New Roman"/>
          <w:sz w:val="20"/>
          <w:szCs w:val="20"/>
        </w:rPr>
        <w:t xml:space="preserve">, 43(6), 521–530. </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Coetzee, J.F., KuKanich, B., Mosher, R. &amp; Allen, P. (2012). Pharmacokinetics of intravenous and oral meloxicam in ruminant calves. </w:t>
      </w:r>
      <w:r w:rsidRPr="00F85FF2">
        <w:rPr>
          <w:rFonts w:ascii="Times New Roman" w:hAnsi="Times New Roman" w:cs="Times New Roman"/>
          <w:i/>
          <w:iCs/>
          <w:sz w:val="20"/>
          <w:szCs w:val="20"/>
        </w:rPr>
        <w:t>Journal of Veterinary Pharmacology and Therapeutics</w:t>
      </w:r>
      <w:r w:rsidRPr="00F85FF2">
        <w:rPr>
          <w:rFonts w:ascii="Times New Roman" w:hAnsi="Times New Roman" w:cs="Times New Roman"/>
          <w:sz w:val="20"/>
          <w:szCs w:val="20"/>
        </w:rPr>
        <w:t xml:space="preserve">, 35(4), 373–381. </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Fielder, S.E. (2022). Hematology (Complete Blood Count) Reference Ranges – Goat In: </w:t>
      </w:r>
      <w:r w:rsidRPr="00F85FF2">
        <w:rPr>
          <w:rFonts w:ascii="Times New Roman" w:hAnsi="Times New Roman" w:cs="Times New Roman"/>
          <w:i/>
          <w:iCs/>
          <w:sz w:val="20"/>
          <w:szCs w:val="20"/>
        </w:rPr>
        <w:t>Merck’s Veterinary Manual (MSD Veterinary Manual)</w:t>
      </w:r>
      <w:r w:rsidRPr="00F85FF2">
        <w:rPr>
          <w:rFonts w:ascii="Times New Roman" w:hAnsi="Times New Roman" w:cs="Times New Roman"/>
          <w:sz w:val="20"/>
          <w:szCs w:val="20"/>
        </w:rPr>
        <w:t>. Merck &amp; Co., Inc., Rahway, NJ, USA</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Garba, M.A. &amp; Musa, U. (2018). Metabolic adjustments following surgical interventions in goats: Implications for lactate metabolism. </w:t>
      </w:r>
      <w:r w:rsidRPr="00F85FF2">
        <w:rPr>
          <w:rFonts w:ascii="Times New Roman" w:hAnsi="Times New Roman" w:cs="Times New Roman"/>
          <w:i/>
          <w:iCs/>
          <w:sz w:val="20"/>
          <w:szCs w:val="20"/>
        </w:rPr>
        <w:t>Small Ruminant Research</w:t>
      </w:r>
      <w:r w:rsidRPr="00F85FF2">
        <w:rPr>
          <w:rFonts w:ascii="Times New Roman" w:hAnsi="Times New Roman" w:cs="Times New Roman"/>
          <w:sz w:val="20"/>
          <w:szCs w:val="20"/>
        </w:rPr>
        <w:t xml:space="preserve">, 167, 1–7. </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Gomaa, S. (2017). Immunomodulatory and Hematological effects induced by Diclofenac, Ibuprofen or Paracetamol toxicity in Swiss albino mice. </w:t>
      </w:r>
      <w:r w:rsidRPr="00F85FF2">
        <w:rPr>
          <w:rFonts w:ascii="Times New Roman" w:hAnsi="Times New Roman" w:cs="Times New Roman"/>
          <w:i/>
          <w:iCs/>
          <w:sz w:val="20"/>
          <w:szCs w:val="20"/>
        </w:rPr>
        <w:lastRenderedPageBreak/>
        <w:t>European Journal of Biological Research</w:t>
      </w:r>
      <w:r w:rsidRPr="00F85FF2">
        <w:rPr>
          <w:rFonts w:ascii="Times New Roman" w:hAnsi="Times New Roman" w:cs="Times New Roman"/>
          <w:sz w:val="20"/>
          <w:szCs w:val="20"/>
        </w:rPr>
        <w:t xml:space="preserve">, 7(4), 348–359.  </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Hassan, M.K., Yusuf, A.A. &amp; Suleiman, M. (2022). Serum lactate as an indicator of metabolic stress in small ruminants undergoing surgery. </w:t>
      </w:r>
      <w:r w:rsidRPr="00F85FF2">
        <w:rPr>
          <w:rFonts w:ascii="Times New Roman" w:hAnsi="Times New Roman" w:cs="Times New Roman"/>
          <w:i/>
          <w:iCs/>
          <w:sz w:val="20"/>
          <w:szCs w:val="20"/>
        </w:rPr>
        <w:t>Veterinary Research Forum</w:t>
      </w:r>
      <w:r w:rsidRPr="00F85FF2">
        <w:rPr>
          <w:rFonts w:ascii="Times New Roman" w:hAnsi="Times New Roman" w:cs="Times New Roman"/>
          <w:sz w:val="20"/>
          <w:szCs w:val="20"/>
        </w:rPr>
        <w:t xml:space="preserve">, 13(2), 215–222. </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Hendrickson, D. A&amp; Baird, N. A. (2013). Small Ruminant Surgery. In: </w:t>
      </w:r>
      <w:r w:rsidRPr="00F85FF2">
        <w:rPr>
          <w:rFonts w:ascii="Times New Roman" w:hAnsi="Times New Roman" w:cs="Times New Roman"/>
          <w:i/>
          <w:iCs/>
          <w:sz w:val="20"/>
          <w:szCs w:val="20"/>
        </w:rPr>
        <w:t>Turner and McIlwraith’s Techniques in Large Animal Surgery</w:t>
      </w:r>
      <w:r w:rsidRPr="00F85FF2">
        <w:rPr>
          <w:rFonts w:ascii="Times New Roman" w:hAnsi="Times New Roman" w:cs="Times New Roman"/>
          <w:sz w:val="20"/>
          <w:szCs w:val="20"/>
        </w:rPr>
        <w:t>. (4th Ed). Wiley Blackwell, USA.</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Ibrahim, M.S., Abdullahi, I.O. &amp; Nwafor, C.I. (2019). Oxidative stress biomarkers in goats subjected to surgical stress: Role of antioxidant therapy. </w:t>
      </w:r>
      <w:r w:rsidRPr="00F85FF2">
        <w:rPr>
          <w:rFonts w:ascii="Times New Roman" w:hAnsi="Times New Roman" w:cs="Times New Roman"/>
          <w:i/>
          <w:iCs/>
          <w:sz w:val="20"/>
          <w:szCs w:val="20"/>
        </w:rPr>
        <w:t>Open Veterinary Journal</w:t>
      </w:r>
      <w:r w:rsidRPr="00F85FF2">
        <w:rPr>
          <w:rFonts w:ascii="Times New Roman" w:hAnsi="Times New Roman" w:cs="Times New Roman"/>
          <w:sz w:val="20"/>
          <w:szCs w:val="20"/>
        </w:rPr>
        <w:t xml:space="preserve">, 9(3), 201–208. </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Kolndadacha, O.D., Makinde, F.A. &amp; Ajayi, O.A. (2023). Oxidative stress responses in goats undergoing surgical interventions. </w:t>
      </w:r>
      <w:r w:rsidRPr="00F85FF2">
        <w:rPr>
          <w:rFonts w:ascii="Times New Roman" w:hAnsi="Times New Roman" w:cs="Times New Roman"/>
          <w:i/>
          <w:iCs/>
          <w:sz w:val="20"/>
          <w:szCs w:val="20"/>
        </w:rPr>
        <w:t>Nigerian Journal of Veterinary Research,</w:t>
      </w:r>
      <w:r w:rsidRPr="00F85FF2">
        <w:rPr>
          <w:rFonts w:ascii="Times New Roman" w:hAnsi="Times New Roman" w:cs="Times New Roman"/>
          <w:sz w:val="20"/>
          <w:szCs w:val="20"/>
        </w:rPr>
        <w:t xml:space="preserve"> 20(1), 66–74. </w:t>
      </w:r>
    </w:p>
    <w:p w:rsidR="00F85FF2" w:rsidRPr="00F85FF2" w:rsidRDefault="00F85FF2" w:rsidP="003A4F70">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Kongara, K., Singh, P., Venkatachalam, D. &amp; Chambers, J.P. (2023). Pain Assessment in Goat Kids: Focus on Disbudding. </w:t>
      </w:r>
      <w:r w:rsidRPr="00F85FF2">
        <w:rPr>
          <w:rFonts w:ascii="Times New Roman" w:hAnsi="Times New Roman" w:cs="Times New Roman"/>
          <w:i/>
          <w:iCs/>
          <w:sz w:val="20"/>
          <w:szCs w:val="20"/>
        </w:rPr>
        <w:t>Animals</w:t>
      </w:r>
      <w:r w:rsidRPr="00F85FF2">
        <w:rPr>
          <w:rFonts w:ascii="Times New Roman" w:hAnsi="Times New Roman" w:cs="Times New Roman"/>
          <w:sz w:val="20"/>
          <w:szCs w:val="20"/>
        </w:rPr>
        <w:t>, 13, 3814.</w:t>
      </w:r>
    </w:p>
    <w:p w:rsidR="00F85FF2" w:rsidRPr="00F85FF2" w:rsidRDefault="00F85FF2" w:rsidP="00CB1B3D">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Okafor, C.C., Udeh, M.C. &amp; Eze, C.A. (2021). Hematological alterations in goats following elective surgical procedures. </w:t>
      </w:r>
      <w:r w:rsidRPr="00F85FF2">
        <w:rPr>
          <w:rFonts w:ascii="Times New Roman" w:hAnsi="Times New Roman" w:cs="Times New Roman"/>
          <w:i/>
          <w:iCs/>
          <w:sz w:val="20"/>
          <w:szCs w:val="20"/>
        </w:rPr>
        <w:t>Comparative Clinical Pathology</w:t>
      </w:r>
      <w:r w:rsidRPr="00F85FF2">
        <w:rPr>
          <w:rFonts w:ascii="Times New Roman" w:hAnsi="Times New Roman" w:cs="Times New Roman"/>
          <w:sz w:val="20"/>
          <w:szCs w:val="20"/>
        </w:rPr>
        <w:t xml:space="preserve">, 30(4), 885–891. </w:t>
      </w:r>
    </w:p>
    <w:p w:rsidR="00F85FF2" w:rsidRPr="00F85FF2" w:rsidRDefault="00F85FF2" w:rsidP="00CB1B3D">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Olatunji, T.A., Babalola, O.O. &amp; Ojo, A.O. (2020). Analgesic efficacy of diclofenac in small ruminants: Comparative evaluation with other NSAIDs. </w:t>
      </w:r>
      <w:r w:rsidRPr="00F85FF2">
        <w:rPr>
          <w:rFonts w:ascii="Times New Roman" w:hAnsi="Times New Roman" w:cs="Times New Roman"/>
          <w:i/>
          <w:iCs/>
          <w:sz w:val="20"/>
          <w:szCs w:val="20"/>
        </w:rPr>
        <w:t>Veterinary Anaesthesia and Analgesia</w:t>
      </w:r>
      <w:r w:rsidRPr="00F85FF2">
        <w:rPr>
          <w:rFonts w:ascii="Times New Roman" w:hAnsi="Times New Roman" w:cs="Times New Roman"/>
          <w:sz w:val="20"/>
          <w:szCs w:val="20"/>
        </w:rPr>
        <w:t xml:space="preserve">, 47(5), 654–662. </w:t>
      </w:r>
    </w:p>
    <w:p w:rsidR="00F85FF2" w:rsidRPr="00F85FF2" w:rsidRDefault="00F85FF2" w:rsidP="00CB1B3D">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Onasanya, G.O., Oke, F.O., Sanni, T.M. &amp; Muhammad, A.I. (2015). Parameters Influencing Haematological, Serum and Bio-Chemical References in Livestock Animals under Different Management Systems. </w:t>
      </w:r>
      <w:r w:rsidRPr="00F85FF2">
        <w:rPr>
          <w:rFonts w:ascii="Times New Roman" w:hAnsi="Times New Roman" w:cs="Times New Roman"/>
          <w:i/>
          <w:iCs/>
          <w:sz w:val="20"/>
          <w:szCs w:val="20"/>
        </w:rPr>
        <w:t>Open Journal of Veterinary Medicine</w:t>
      </w:r>
      <w:r w:rsidRPr="00F85FF2">
        <w:rPr>
          <w:rFonts w:ascii="Times New Roman" w:hAnsi="Times New Roman" w:cs="Times New Roman"/>
          <w:sz w:val="20"/>
          <w:szCs w:val="20"/>
        </w:rPr>
        <w:t xml:space="preserve">, 5, 181–189. </w:t>
      </w:r>
    </w:p>
    <w:p w:rsidR="00F85FF2" w:rsidRPr="00F85FF2" w:rsidRDefault="00F85FF2" w:rsidP="00CB1B3D">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Radkowska, I. &amp;Herbut, E. (2014). Hematological and biochemical blood parameters in dairy cows depending on the management system. </w:t>
      </w:r>
      <w:r w:rsidRPr="00F85FF2">
        <w:rPr>
          <w:rFonts w:ascii="Times New Roman" w:hAnsi="Times New Roman" w:cs="Times New Roman"/>
          <w:i/>
          <w:iCs/>
          <w:sz w:val="20"/>
          <w:szCs w:val="20"/>
        </w:rPr>
        <w:t>Animal Science Papers and Reports</w:t>
      </w:r>
      <w:r w:rsidRPr="00F85FF2">
        <w:rPr>
          <w:rFonts w:ascii="Times New Roman" w:hAnsi="Times New Roman" w:cs="Times New Roman"/>
          <w:sz w:val="20"/>
          <w:szCs w:val="20"/>
        </w:rPr>
        <w:t xml:space="preserve">, 32(4), 317–325. </w:t>
      </w:r>
    </w:p>
    <w:p w:rsidR="00F85FF2" w:rsidRPr="00F85FF2" w:rsidRDefault="00F85FF2" w:rsidP="00CB1B3D">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Reddy, K.J.M., Kumar, V.G., Ganesh, S. &amp; Raghavender, K.B.P. (2017). Unilateral Horn Cancer in Cow and its Surgical Management- A Case Report. </w:t>
      </w:r>
      <w:r w:rsidRPr="00F85FF2">
        <w:rPr>
          <w:rFonts w:ascii="Times New Roman" w:hAnsi="Times New Roman" w:cs="Times New Roman"/>
          <w:i/>
          <w:iCs/>
          <w:sz w:val="20"/>
          <w:szCs w:val="20"/>
        </w:rPr>
        <w:t>International Journal of Current Microbiology and Applied Sciences</w:t>
      </w:r>
      <w:r w:rsidRPr="00F85FF2">
        <w:rPr>
          <w:rFonts w:ascii="Times New Roman" w:hAnsi="Times New Roman" w:cs="Times New Roman"/>
          <w:sz w:val="20"/>
          <w:szCs w:val="20"/>
        </w:rPr>
        <w:t xml:space="preserve">, </w:t>
      </w:r>
      <w:r w:rsidRPr="00F85FF2">
        <w:rPr>
          <w:rFonts w:ascii="Times New Roman" w:hAnsi="Times New Roman" w:cs="Times New Roman"/>
          <w:i/>
          <w:iCs/>
          <w:sz w:val="20"/>
          <w:szCs w:val="20"/>
        </w:rPr>
        <w:t>6</w:t>
      </w:r>
      <w:r w:rsidRPr="00F85FF2">
        <w:rPr>
          <w:rFonts w:ascii="Times New Roman" w:hAnsi="Times New Roman" w:cs="Times New Roman"/>
          <w:sz w:val="20"/>
          <w:szCs w:val="20"/>
        </w:rPr>
        <w:t xml:space="preserve">(8), 3349–3352.  </w:t>
      </w:r>
    </w:p>
    <w:p w:rsidR="00F85FF2" w:rsidRPr="00F85FF2" w:rsidRDefault="00F85FF2" w:rsidP="00CB1B3D">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Stock, M.L., Baldridge, S.L., Griffin, D. &amp; Coetzee, J.F. (2013).</w:t>
      </w:r>
      <w:r w:rsidRPr="00F85FF2">
        <w:rPr>
          <w:rFonts w:ascii="Times New Roman" w:hAnsi="Times New Roman" w:cs="Times New Roman"/>
          <w:sz w:val="20"/>
          <w:szCs w:val="20"/>
        </w:rPr>
        <w:tab/>
        <w:t xml:space="preserve">Bovine dehorning: Assessing the behavioral response and analgesic efficacy of non-steroidal anti-inflammatory drugs. Veterinary Clinics of North America: </w:t>
      </w:r>
      <w:r w:rsidRPr="00F85FF2">
        <w:rPr>
          <w:rFonts w:ascii="Times New Roman" w:hAnsi="Times New Roman" w:cs="Times New Roman"/>
          <w:i/>
          <w:iCs/>
          <w:sz w:val="20"/>
          <w:szCs w:val="20"/>
        </w:rPr>
        <w:t>Food Animal Practice</w:t>
      </w:r>
      <w:r w:rsidRPr="00F85FF2">
        <w:rPr>
          <w:rFonts w:ascii="Times New Roman" w:hAnsi="Times New Roman" w:cs="Times New Roman"/>
          <w:sz w:val="20"/>
          <w:szCs w:val="20"/>
        </w:rPr>
        <w:t xml:space="preserve">, 29(1), 103–125. </w:t>
      </w:r>
    </w:p>
    <w:p w:rsidR="00F85FF2" w:rsidRPr="00F85FF2" w:rsidRDefault="00F85FF2" w:rsidP="00CB1B3D">
      <w:pPr>
        <w:spacing w:after="0"/>
        <w:ind w:left="720" w:hanging="720"/>
        <w:jc w:val="both"/>
        <w:rPr>
          <w:rFonts w:ascii="Times New Roman" w:hAnsi="Times New Roman" w:cs="Times New Roman"/>
          <w:sz w:val="20"/>
          <w:szCs w:val="20"/>
        </w:rPr>
      </w:pPr>
      <w:r w:rsidRPr="00F85FF2">
        <w:rPr>
          <w:rFonts w:ascii="Times New Roman" w:hAnsi="Times New Roman" w:cs="Times New Roman"/>
          <w:sz w:val="20"/>
          <w:szCs w:val="20"/>
        </w:rPr>
        <w:t xml:space="preserve">Tekeli, I.O., Ibrahim, A.A. &amp; Alabi, Q.O. (2024). Cortisol and lactate as stress indicators in goats under </w:t>
      </w:r>
      <w:r w:rsidRPr="00F85FF2">
        <w:rPr>
          <w:rFonts w:ascii="Times New Roman" w:hAnsi="Times New Roman" w:cs="Times New Roman"/>
          <w:sz w:val="20"/>
          <w:szCs w:val="20"/>
        </w:rPr>
        <w:lastRenderedPageBreak/>
        <w:t xml:space="preserve">surgical stress. </w:t>
      </w:r>
      <w:r w:rsidRPr="00F85FF2">
        <w:rPr>
          <w:rFonts w:ascii="Times New Roman" w:hAnsi="Times New Roman" w:cs="Times New Roman"/>
          <w:i/>
          <w:iCs/>
          <w:sz w:val="20"/>
          <w:szCs w:val="20"/>
        </w:rPr>
        <w:t>Journal of Animal Physiology and Animal Nutrition</w:t>
      </w:r>
      <w:r w:rsidRPr="00F85FF2">
        <w:rPr>
          <w:rFonts w:ascii="Times New Roman" w:hAnsi="Times New Roman" w:cs="Times New Roman"/>
          <w:sz w:val="20"/>
          <w:szCs w:val="20"/>
        </w:rPr>
        <w:t>, 108(2), 459–467.</w:t>
      </w:r>
    </w:p>
    <w:p w:rsidR="00C96F46" w:rsidRPr="00F85FF2" w:rsidRDefault="00C96F46" w:rsidP="00CB1B3D">
      <w:pPr>
        <w:spacing w:after="0"/>
        <w:jc w:val="both"/>
        <w:rPr>
          <w:rFonts w:ascii="Times New Roman" w:hAnsi="Times New Roman" w:cs="Times New Roman"/>
          <w:b/>
          <w:bCs/>
          <w:sz w:val="20"/>
          <w:szCs w:val="20"/>
        </w:rPr>
      </w:pPr>
    </w:p>
    <w:sectPr w:rsidR="00C96F46" w:rsidRPr="00F85FF2" w:rsidSect="00C96F46">
      <w:headerReference w:type="even" r:id="rId14"/>
      <w:headerReference w:type="default" r:id="rId15"/>
      <w:footerReference w:type="default" r:id="rId16"/>
      <w:headerReference w:type="first" r:id="rId17"/>
      <w:type w:val="continuous"/>
      <w:pgSz w:w="11907" w:h="16839"/>
      <w:pgMar w:top="1382" w:right="893" w:bottom="1382" w:left="893" w:header="720" w:footer="720" w:gutter="0"/>
      <w:cols w:num="2" w:space="28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908" w:rsidRDefault="00B72908">
      <w:pPr>
        <w:spacing w:line="240" w:lineRule="auto"/>
      </w:pPr>
      <w:r>
        <w:separator/>
      </w:r>
    </w:p>
  </w:endnote>
  <w:endnote w:type="continuationSeparator" w:id="0">
    <w:p w:rsidR="00B72908" w:rsidRDefault="00B729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715336"/>
      <w:docPartObj>
        <w:docPartGallery w:val="AutoText"/>
      </w:docPartObj>
    </w:sdtPr>
    <w:sdtEndPr/>
    <w:sdtContent>
      <w:p w:rsidR="00C96F46" w:rsidRDefault="009A278C">
        <w:pPr>
          <w:pStyle w:val="Footer"/>
          <w:pBdr>
            <w:top w:val="single" w:sz="4" w:space="1" w:color="auto"/>
          </w:pBdr>
          <w:jc w:val="right"/>
        </w:pPr>
        <w:r>
          <w:fldChar w:fldCharType="begin"/>
        </w:r>
        <w:r w:rsidR="00160914">
          <w:instrText xml:space="preserve"> PAGE   \* MERGEFORMAT </w:instrText>
        </w:r>
        <w:r>
          <w:fldChar w:fldCharType="separate"/>
        </w:r>
        <w:r w:rsidR="00E95475">
          <w:rPr>
            <w:noProof/>
          </w:rPr>
          <w:t>288</w:t>
        </w:r>
        <w:r>
          <w:fldChar w:fldCharType="end"/>
        </w:r>
      </w:p>
    </w:sdtContent>
  </w:sdt>
  <w:p w:rsidR="00C96F46" w:rsidRDefault="00160914">
    <w:pPr>
      <w:rPr>
        <w:rFonts w:ascii="Times New Roman" w:hAnsi="Times New Roman"/>
        <w:b/>
      </w:rPr>
    </w:pPr>
    <w:r>
      <w:rPr>
        <w:rFonts w:ascii="Times New Roman" w:hAnsi="Times New Roman"/>
        <w:b/>
      </w:rPr>
      <w:t>http://doi.</w:t>
    </w:r>
    <w:r w:rsidR="009B4362">
      <w:rPr>
        <w:rFonts w:ascii="Times New Roman" w:hAnsi="Times New Roman"/>
        <w:b/>
      </w:rPr>
      <w:t>org/10.54328/covm.josvas.2026.</w:t>
    </w:r>
    <w:r>
      <w:rPr>
        <w:rFonts w:ascii="Times New Roman" w:hAnsi="Times New Roman"/>
        <w:b/>
      </w:rPr>
      <w:t>3</w:t>
    </w:r>
    <w:r w:rsidR="009B4362">
      <w:rPr>
        <w:rFonts w:ascii="Times New Roman" w:hAnsi="Times New Roman"/>
        <w:b/>
      </w:rPr>
      <w:t>57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F46" w:rsidRDefault="009A278C">
    <w:pPr>
      <w:pStyle w:val="Footer"/>
      <w:pBdr>
        <w:top w:val="single" w:sz="4" w:space="1" w:color="auto"/>
      </w:pBdr>
      <w:jc w:val="right"/>
    </w:pPr>
    <w:r>
      <w:fldChar w:fldCharType="begin"/>
    </w:r>
    <w:r w:rsidR="00160914">
      <w:instrText xml:space="preserve"> PAGE   \* MERGEFORMAT </w:instrText>
    </w:r>
    <w:r>
      <w:fldChar w:fldCharType="separate"/>
    </w:r>
    <w:r w:rsidR="00E95475">
      <w:rPr>
        <w:noProof/>
      </w:rPr>
      <w:t>293</w:t>
    </w:r>
    <w:r>
      <w:fldChar w:fldCharType="end"/>
    </w:r>
  </w:p>
  <w:p w:rsidR="00C96F46" w:rsidRDefault="00C96F4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908" w:rsidRDefault="00B72908">
      <w:pPr>
        <w:spacing w:after="0"/>
      </w:pPr>
      <w:r>
        <w:separator/>
      </w:r>
    </w:p>
  </w:footnote>
  <w:footnote w:type="continuationSeparator" w:id="0">
    <w:p w:rsidR="00B72908" w:rsidRDefault="00B7290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F46" w:rsidRDefault="00C96F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F46" w:rsidRDefault="00C96F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F46" w:rsidRDefault="00C96F4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F46" w:rsidRDefault="00C96F4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F46" w:rsidRDefault="009B4362">
    <w:pPr>
      <w:pStyle w:val="Header"/>
      <w:pBdr>
        <w:bottom w:val="single" w:sz="4" w:space="1" w:color="auto"/>
      </w:pBdr>
      <w:jc w:val="both"/>
      <w:rPr>
        <w:rFonts w:ascii="Times New Roman" w:hAnsi="Times New Roman"/>
        <w:b/>
        <w:sz w:val="20"/>
        <w:szCs w:val="20"/>
      </w:rPr>
    </w:pPr>
    <w:r>
      <w:rPr>
        <w:rFonts w:ascii="Times New Roman" w:eastAsia="Times New Roman" w:hAnsi="Times New Roman"/>
        <w:b/>
        <w:bCs/>
        <w:sz w:val="20"/>
        <w:szCs w:val="20"/>
      </w:rPr>
      <w:t>Abdulkadir</w:t>
    </w:r>
    <w:r w:rsidR="00160914">
      <w:rPr>
        <w:rFonts w:ascii="Times New Roman" w:eastAsia="Times New Roman" w:hAnsi="Times New Roman"/>
        <w:b/>
        <w:bCs/>
        <w:sz w:val="20"/>
        <w:szCs w:val="20"/>
      </w:rPr>
      <w:t xml:space="preserve"> </w:t>
    </w:r>
    <w:r w:rsidR="00160914">
      <w:rPr>
        <w:rFonts w:ascii="Times New Roman" w:eastAsia="Times New Roman" w:hAnsi="Times New Roman"/>
        <w:b/>
        <w:bCs/>
        <w:i/>
        <w:sz w:val="20"/>
        <w:szCs w:val="20"/>
        <w:lang w:val="en-GB"/>
      </w:rPr>
      <w:t>et al.</w:t>
    </w:r>
    <w:r w:rsidR="00160914">
      <w:rPr>
        <w:rFonts w:ascii="Times New Roman" w:hAnsi="Times New Roman"/>
        <w:b/>
        <w:sz w:val="20"/>
        <w:szCs w:val="20"/>
      </w:rPr>
      <w:t xml:space="preserve">  2026   </w:t>
    </w:r>
    <w:r w:rsidR="00160914">
      <w:rPr>
        <w:rFonts w:ascii="Times New Roman" w:hAnsi="Times New Roman"/>
        <w:b/>
        <w:sz w:val="20"/>
        <w:szCs w:val="20"/>
      </w:rPr>
      <w:tab/>
      <w:t xml:space="preserve">                  </w:t>
    </w:r>
    <w:r w:rsidR="00315B39">
      <w:rPr>
        <w:rFonts w:ascii="Times New Roman" w:hAnsi="Times New Roman"/>
        <w:b/>
        <w:sz w:val="20"/>
        <w:szCs w:val="20"/>
      </w:rPr>
      <w:t xml:space="preserve">                            </w:t>
    </w:r>
    <w:r w:rsidR="00160914">
      <w:rPr>
        <w:rFonts w:ascii="Times New Roman" w:hAnsi="Times New Roman"/>
        <w:b/>
        <w:sz w:val="20"/>
        <w:szCs w:val="20"/>
      </w:rPr>
      <w:t>Journal of Sustainable Veterinary &amp; Allied Sciences Vol</w:t>
    </w:r>
    <w:r w:rsidR="00315B39">
      <w:rPr>
        <w:rFonts w:ascii="Times New Roman" w:hAnsi="Times New Roman"/>
        <w:b/>
        <w:sz w:val="20"/>
        <w:szCs w:val="20"/>
      </w:rPr>
      <w:t>.</w:t>
    </w:r>
    <w:r w:rsidR="00160914">
      <w:rPr>
        <w:rFonts w:ascii="Times New Roman" w:hAnsi="Times New Roman"/>
        <w:b/>
        <w:sz w:val="20"/>
        <w:szCs w:val="20"/>
      </w:rPr>
      <w:t xml:space="preserve"> 8 Issue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F46" w:rsidRDefault="00C96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76A"/>
    <w:rsid w:val="000566FF"/>
    <w:rsid w:val="00070339"/>
    <w:rsid w:val="000714BE"/>
    <w:rsid w:val="00075101"/>
    <w:rsid w:val="000A060C"/>
    <w:rsid w:val="000A726C"/>
    <w:rsid w:val="000E63A9"/>
    <w:rsid w:val="00160914"/>
    <w:rsid w:val="00195F59"/>
    <w:rsid w:val="0025311C"/>
    <w:rsid w:val="002C4B50"/>
    <w:rsid w:val="002C5D74"/>
    <w:rsid w:val="00315B39"/>
    <w:rsid w:val="003A4F70"/>
    <w:rsid w:val="003B02A0"/>
    <w:rsid w:val="003D35EA"/>
    <w:rsid w:val="00405780"/>
    <w:rsid w:val="004F36CF"/>
    <w:rsid w:val="00501981"/>
    <w:rsid w:val="00526B77"/>
    <w:rsid w:val="00567311"/>
    <w:rsid w:val="005A69E1"/>
    <w:rsid w:val="005D4B78"/>
    <w:rsid w:val="00664C8B"/>
    <w:rsid w:val="00666E79"/>
    <w:rsid w:val="006720B8"/>
    <w:rsid w:val="00741EDA"/>
    <w:rsid w:val="00786199"/>
    <w:rsid w:val="00797489"/>
    <w:rsid w:val="007A34FE"/>
    <w:rsid w:val="00814601"/>
    <w:rsid w:val="00852AB9"/>
    <w:rsid w:val="00856DBC"/>
    <w:rsid w:val="008C5FC2"/>
    <w:rsid w:val="008D4CC5"/>
    <w:rsid w:val="00997BBE"/>
    <w:rsid w:val="009A278C"/>
    <w:rsid w:val="009B4362"/>
    <w:rsid w:val="009E3778"/>
    <w:rsid w:val="009E4906"/>
    <w:rsid w:val="009F56C5"/>
    <w:rsid w:val="00A01A41"/>
    <w:rsid w:val="00A14735"/>
    <w:rsid w:val="00A16529"/>
    <w:rsid w:val="00A24736"/>
    <w:rsid w:val="00A85774"/>
    <w:rsid w:val="00AB5FC8"/>
    <w:rsid w:val="00AD2E42"/>
    <w:rsid w:val="00AD3B9A"/>
    <w:rsid w:val="00B02E58"/>
    <w:rsid w:val="00B72908"/>
    <w:rsid w:val="00B754BC"/>
    <w:rsid w:val="00B8796F"/>
    <w:rsid w:val="00B97F4B"/>
    <w:rsid w:val="00BB1D86"/>
    <w:rsid w:val="00BB615A"/>
    <w:rsid w:val="00BD5825"/>
    <w:rsid w:val="00C528F8"/>
    <w:rsid w:val="00C56183"/>
    <w:rsid w:val="00C60B99"/>
    <w:rsid w:val="00C96F46"/>
    <w:rsid w:val="00CB1544"/>
    <w:rsid w:val="00CB1B3D"/>
    <w:rsid w:val="00CC4188"/>
    <w:rsid w:val="00CD538A"/>
    <w:rsid w:val="00D12CBD"/>
    <w:rsid w:val="00D26EAB"/>
    <w:rsid w:val="00D75736"/>
    <w:rsid w:val="00D8089C"/>
    <w:rsid w:val="00D83EB4"/>
    <w:rsid w:val="00DA3A19"/>
    <w:rsid w:val="00DC1379"/>
    <w:rsid w:val="00DD04E4"/>
    <w:rsid w:val="00DF08B8"/>
    <w:rsid w:val="00E00309"/>
    <w:rsid w:val="00E00930"/>
    <w:rsid w:val="00E00D68"/>
    <w:rsid w:val="00E15DA4"/>
    <w:rsid w:val="00E6582D"/>
    <w:rsid w:val="00E95475"/>
    <w:rsid w:val="00EB3044"/>
    <w:rsid w:val="00EE05D0"/>
    <w:rsid w:val="00F0476A"/>
    <w:rsid w:val="00F0551B"/>
    <w:rsid w:val="00F5777D"/>
    <w:rsid w:val="00F63A6E"/>
    <w:rsid w:val="00F85FF2"/>
    <w:rsid w:val="00FA6257"/>
    <w:rsid w:val="00FC469C"/>
    <w:rsid w:val="00FD0595"/>
    <w:rsid w:val="00FE3A28"/>
    <w:rsid w:val="510752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3644AF-64BB-44A2-A51B-0A3555D0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F46"/>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C96F46"/>
    <w:pPr>
      <w:spacing w:after="0" w:line="240" w:lineRule="auto"/>
    </w:pPr>
    <w:rPr>
      <w:rFonts w:ascii="Tahoma" w:hAnsi="Tahoma" w:cs="Tahoma"/>
      <w:sz w:val="16"/>
      <w:szCs w:val="16"/>
    </w:rPr>
  </w:style>
  <w:style w:type="character" w:styleId="Emphasis">
    <w:name w:val="Emphasis"/>
    <w:basedOn w:val="DefaultParagraphFont"/>
    <w:uiPriority w:val="20"/>
    <w:qFormat/>
    <w:rsid w:val="00C96F46"/>
    <w:rPr>
      <w:i/>
      <w:iCs/>
    </w:rPr>
  </w:style>
  <w:style w:type="paragraph" w:styleId="Footer">
    <w:name w:val="footer"/>
    <w:basedOn w:val="Normal"/>
    <w:link w:val="FooterChar"/>
    <w:uiPriority w:val="99"/>
    <w:unhideWhenUsed/>
    <w:qFormat/>
    <w:rsid w:val="00C96F46"/>
    <w:pPr>
      <w:tabs>
        <w:tab w:val="center" w:pos="4680"/>
        <w:tab w:val="right" w:pos="9360"/>
      </w:tabs>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qFormat/>
    <w:rsid w:val="00C96F46"/>
    <w:pPr>
      <w:tabs>
        <w:tab w:val="center" w:pos="4680"/>
        <w:tab w:val="right" w:pos="9360"/>
      </w:tabs>
      <w:spacing w:after="0" w:line="240" w:lineRule="auto"/>
    </w:pPr>
    <w:rPr>
      <w:rFonts w:ascii="Calibri" w:eastAsia="Calibri" w:hAnsi="Calibri" w:cs="Times New Roman"/>
      <w:lang w:val="en-US"/>
    </w:rPr>
  </w:style>
  <w:style w:type="character" w:styleId="Hyperlink">
    <w:name w:val="Hyperlink"/>
    <w:basedOn w:val="DefaultParagraphFont"/>
    <w:uiPriority w:val="99"/>
    <w:semiHidden/>
    <w:unhideWhenUsed/>
    <w:qFormat/>
    <w:rsid w:val="00C96F46"/>
    <w:rPr>
      <w:color w:val="0000FF"/>
      <w:u w:val="single"/>
    </w:rPr>
  </w:style>
  <w:style w:type="paragraph" w:styleId="NormalWeb">
    <w:name w:val="Normal (Web)"/>
    <w:basedOn w:val="Normal"/>
    <w:uiPriority w:val="99"/>
    <w:semiHidden/>
    <w:unhideWhenUsed/>
    <w:rsid w:val="00C96F46"/>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qFormat/>
    <w:rsid w:val="00C96F46"/>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rsid w:val="00C96F46"/>
    <w:rPr>
      <w:rFonts w:ascii="Calibri" w:eastAsia="Calibri" w:hAnsi="Calibri" w:cs="Times New Roman"/>
      <w:lang w:val="en-US"/>
    </w:rPr>
  </w:style>
  <w:style w:type="character" w:customStyle="1" w:styleId="FooterChar">
    <w:name w:val="Footer Char"/>
    <w:basedOn w:val="DefaultParagraphFont"/>
    <w:link w:val="Footer"/>
    <w:uiPriority w:val="99"/>
    <w:qFormat/>
    <w:rsid w:val="00C96F46"/>
    <w:rPr>
      <w:rFonts w:ascii="Calibri" w:eastAsia="Calibri" w:hAnsi="Calibri" w:cs="Times New Roman"/>
      <w:lang w:val="en-US"/>
    </w:rPr>
  </w:style>
  <w:style w:type="character" w:customStyle="1" w:styleId="BalloonTextChar">
    <w:name w:val="Balloon Text Char"/>
    <w:basedOn w:val="DefaultParagraphFont"/>
    <w:link w:val="BalloonText"/>
    <w:uiPriority w:val="99"/>
    <w:semiHidden/>
    <w:qFormat/>
    <w:rsid w:val="00C96F46"/>
    <w:rPr>
      <w:rFonts w:ascii="Tahoma" w:hAnsi="Tahoma" w:cs="Tahoma"/>
      <w:sz w:val="16"/>
      <w:szCs w:val="16"/>
    </w:rPr>
  </w:style>
  <w:style w:type="paragraph" w:customStyle="1" w:styleId="texte">
    <w:name w:val="texte"/>
    <w:basedOn w:val="Normal"/>
    <w:uiPriority w:val="99"/>
    <w:semiHidden/>
    <w:rsid w:val="00C96F4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dytext">
    <w:name w:val="Body text_"/>
    <w:basedOn w:val="DefaultParagraphFont"/>
    <w:link w:val="BodyText1"/>
    <w:semiHidden/>
    <w:locked/>
    <w:rsid w:val="00C96F46"/>
    <w:rPr>
      <w:rFonts w:ascii="Times New Roman" w:eastAsia="Times New Roman" w:hAnsi="Times New Roman" w:cs="Times New Roman"/>
      <w:sz w:val="23"/>
      <w:szCs w:val="23"/>
      <w:shd w:val="clear" w:color="auto" w:fill="FFFFFF"/>
    </w:rPr>
  </w:style>
  <w:style w:type="paragraph" w:customStyle="1" w:styleId="BodyText1">
    <w:name w:val="Body Text1"/>
    <w:basedOn w:val="Normal"/>
    <w:link w:val="Bodytext"/>
    <w:semiHidden/>
    <w:rsid w:val="00C96F46"/>
    <w:pPr>
      <w:shd w:val="clear" w:color="auto" w:fill="FFFFFF"/>
      <w:spacing w:after="0" w:line="533" w:lineRule="exact"/>
    </w:pPr>
    <w:rPr>
      <w:rFonts w:ascii="Times New Roman" w:eastAsia="Times New Roman" w:hAnsi="Times New Roman" w:cs="Times New Roman"/>
      <w:sz w:val="23"/>
      <w:szCs w:val="23"/>
    </w:rPr>
  </w:style>
  <w:style w:type="paragraph" w:customStyle="1" w:styleId="Default">
    <w:name w:val="Default"/>
    <w:qFormat/>
    <w:rsid w:val="00C96F46"/>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dulkadir.sz@unilorin.edu.ng"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azs.dvm.udus.2014@gmail.com" TargetMode="Externa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5"/>
    <customShpInfo spid="_x0000_s3074"/>
    <customShpInfo spid="_x0000_s3073"/>
    <customShpInfo spid="_x0000_s3078"/>
    <customShpInfo spid="_x0000_s3077"/>
    <customShpInfo spid="_x0000_s307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6</Pages>
  <Words>3820</Words>
  <Characters>21780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29</cp:revision>
  <cp:lastPrinted>2024-07-17T10:10:00Z</cp:lastPrinted>
  <dcterms:created xsi:type="dcterms:W3CDTF">2025-12-22T16:26:00Z</dcterms:created>
  <dcterms:modified xsi:type="dcterms:W3CDTF">2026-09-22T10:04:00Z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eyJoZGlkIjoiNjdlZTFhMTljZDA0MDkxYTQzYzMwZTgxZWVlOTRhZjEifQ==</vt:lpwstr>
  </property>
  <property fmtid="{D5CDD505-2E9C-101B-9397-08002B2CF9AE}" pid="3" name="KSOProductBuildVer">
    <vt:lpwstr>1033-12.1.0.28032</vt:lpwstr>
  </property>
  <property fmtid="{D5CDD505-2E9C-101B-9397-08002B2CF9AE}" pid="4" name="ICV">
    <vt:lpwstr>76E3A7DEF1B14812AC9F3F5A2A74854A_12</vt:lpwstr>
  </property>
</Properties>
</file>